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0A4DA">
      <w:pPr>
        <w:spacing w:line="660" w:lineRule="exact"/>
        <w:jc w:val="center"/>
        <w:rPr>
          <w:rFonts w:ascii="宋体" w:hAnsi="宋体" w:cs="宋体"/>
          <w:b/>
          <w:bCs/>
          <w:kern w:val="0"/>
          <w:sz w:val="44"/>
          <w:szCs w:val="44"/>
        </w:rPr>
      </w:pPr>
    </w:p>
    <w:p w14:paraId="552BD669">
      <w:pPr>
        <w:spacing w:line="660" w:lineRule="exact"/>
        <w:jc w:val="center"/>
        <w:rPr>
          <w:rFonts w:ascii="宋体" w:hAnsi="宋体" w:cs="宋体"/>
          <w:b/>
          <w:bCs/>
          <w:kern w:val="0"/>
          <w:sz w:val="44"/>
          <w:szCs w:val="44"/>
        </w:rPr>
      </w:pPr>
    </w:p>
    <w:p w14:paraId="2794033D">
      <w:pPr>
        <w:spacing w:line="660" w:lineRule="exact"/>
        <w:jc w:val="center"/>
        <w:rPr>
          <w:rFonts w:ascii="宋体" w:hAnsi="宋体" w:cs="宋体"/>
          <w:b/>
          <w:bCs/>
          <w:kern w:val="0"/>
          <w:sz w:val="44"/>
          <w:szCs w:val="44"/>
        </w:rPr>
      </w:pPr>
    </w:p>
    <w:p w14:paraId="0CD29DA2">
      <w:pPr>
        <w:spacing w:line="660" w:lineRule="exact"/>
        <w:jc w:val="center"/>
        <w:rPr>
          <w:rFonts w:ascii="宋体" w:hAnsi="宋体" w:cs="宋体"/>
          <w:b/>
          <w:bCs/>
          <w:kern w:val="0"/>
          <w:sz w:val="44"/>
          <w:szCs w:val="44"/>
        </w:rPr>
      </w:pPr>
    </w:p>
    <w:p w14:paraId="4368C9C8">
      <w:pPr>
        <w:spacing w:line="660" w:lineRule="exact"/>
        <w:jc w:val="center"/>
        <w:rPr>
          <w:rFonts w:ascii="宋体" w:hAnsi="宋体" w:cs="宋体"/>
          <w:b/>
          <w:bCs/>
          <w:kern w:val="0"/>
          <w:sz w:val="44"/>
          <w:szCs w:val="44"/>
        </w:rPr>
      </w:pPr>
    </w:p>
    <w:p w14:paraId="1E0CFEBD">
      <w:pPr>
        <w:spacing w:line="660" w:lineRule="exact"/>
        <w:jc w:val="center"/>
        <w:rPr>
          <w:rFonts w:ascii="宋体" w:hAnsi="宋体" w:cs="宋体"/>
          <w:b/>
          <w:bCs/>
          <w:kern w:val="0"/>
          <w:sz w:val="44"/>
          <w:szCs w:val="44"/>
        </w:rPr>
      </w:pPr>
    </w:p>
    <w:p w14:paraId="70446976">
      <w:pPr>
        <w:spacing w:line="660" w:lineRule="exact"/>
        <w:jc w:val="center"/>
        <w:rPr>
          <w:rFonts w:ascii="宋体" w:hAnsi="宋体" w:cs="宋体"/>
          <w:b/>
          <w:bCs/>
          <w:kern w:val="0"/>
          <w:sz w:val="44"/>
          <w:szCs w:val="44"/>
        </w:rPr>
      </w:pPr>
    </w:p>
    <w:p w14:paraId="5682E658">
      <w:pPr>
        <w:spacing w:line="660" w:lineRule="exact"/>
        <w:jc w:val="center"/>
        <w:rPr>
          <w:rFonts w:ascii="宋体" w:hAnsi="宋体" w:cs="宋体"/>
          <w:b/>
          <w:bCs/>
          <w:kern w:val="0"/>
          <w:sz w:val="44"/>
          <w:szCs w:val="44"/>
        </w:rPr>
      </w:pPr>
    </w:p>
    <w:p w14:paraId="6C7ECEAE">
      <w:pPr>
        <w:spacing w:line="660" w:lineRule="exact"/>
        <w:jc w:val="center"/>
        <w:rPr>
          <w:rFonts w:ascii="宋体" w:hAnsi="宋体" w:cs="宋体"/>
          <w:b/>
          <w:bCs/>
          <w:kern w:val="0"/>
          <w:sz w:val="44"/>
          <w:szCs w:val="44"/>
        </w:rPr>
      </w:pPr>
    </w:p>
    <w:p w14:paraId="0CC0773F">
      <w:pPr>
        <w:spacing w:line="660" w:lineRule="exact"/>
        <w:jc w:val="center"/>
        <w:rPr>
          <w:rFonts w:ascii="宋体" w:hAnsi="宋体" w:cs="宋体"/>
          <w:b/>
          <w:bCs/>
          <w:kern w:val="0"/>
          <w:sz w:val="44"/>
          <w:szCs w:val="44"/>
        </w:rPr>
      </w:pPr>
      <w:r>
        <w:rPr>
          <w:rFonts w:hint="eastAsia" w:ascii="宋体" w:hAnsi="宋体" w:cs="宋体"/>
          <w:b/>
          <w:bCs/>
          <w:kern w:val="0"/>
          <w:sz w:val="40"/>
          <w:szCs w:val="40"/>
          <w:lang w:val="en-US" w:eastAsia="zh-CN"/>
        </w:rPr>
        <w:t>明花镇人民政府</w:t>
      </w:r>
    </w:p>
    <w:p w14:paraId="4EF646C2">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w:t>
      </w:r>
      <w:r>
        <w:rPr>
          <w:rFonts w:hint="eastAsia" w:ascii="宋体" w:hAnsi="宋体" w:cs="宋体"/>
          <w:b/>
          <w:bCs/>
          <w:kern w:val="0"/>
          <w:sz w:val="44"/>
          <w:szCs w:val="44"/>
          <w:lang w:val="en-US" w:eastAsia="zh-CN"/>
        </w:rPr>
        <w:t>6</w:t>
      </w:r>
      <w:r>
        <w:rPr>
          <w:rFonts w:hint="eastAsia" w:ascii="宋体" w:hAnsi="宋体" w:cs="宋体"/>
          <w:b/>
          <w:bCs/>
          <w:kern w:val="0"/>
          <w:sz w:val="44"/>
          <w:szCs w:val="44"/>
        </w:rPr>
        <w:t xml:space="preserve">年部门预算公开情况说明 </w:t>
      </w:r>
    </w:p>
    <w:p w14:paraId="4E6FD86E">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06B6BDA0">
      <w:pPr>
        <w:spacing w:line="660" w:lineRule="exact"/>
        <w:jc w:val="center"/>
        <w:rPr>
          <w:rFonts w:ascii="宋体" w:hAnsi="宋体" w:cs="宋体"/>
          <w:b/>
          <w:bCs/>
          <w:kern w:val="0"/>
          <w:sz w:val="44"/>
          <w:szCs w:val="44"/>
        </w:rPr>
      </w:pPr>
    </w:p>
    <w:p w14:paraId="704FD2C9">
      <w:pPr>
        <w:spacing w:line="30" w:lineRule="exact"/>
        <w:jc w:val="center"/>
        <w:rPr>
          <w:rFonts w:ascii="黑体" w:eastAsia="黑体"/>
          <w:color w:val="000000"/>
          <w:sz w:val="18"/>
          <w:szCs w:val="18"/>
        </w:rPr>
      </w:pPr>
    </w:p>
    <w:p w14:paraId="1EE8A88C">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第一部分 </w:t>
      </w:r>
      <w:r>
        <w:rPr>
          <w:rFonts w:hint="eastAsia" w:ascii="仿宋_GB2312" w:hAnsi="仿宋" w:eastAsia="仿宋_GB2312"/>
          <w:b/>
          <w:color w:val="000000"/>
          <w:sz w:val="30"/>
          <w:szCs w:val="30"/>
          <w:lang w:eastAsia="zh-CN"/>
        </w:rPr>
        <w:t>单位</w:t>
      </w:r>
      <w:r>
        <w:rPr>
          <w:rFonts w:hint="eastAsia" w:ascii="仿宋_GB2312" w:hAnsi="仿宋" w:eastAsia="仿宋_GB2312"/>
          <w:b/>
          <w:color w:val="000000"/>
          <w:sz w:val="30"/>
          <w:szCs w:val="30"/>
        </w:rPr>
        <w:t>基本概况</w:t>
      </w:r>
    </w:p>
    <w:p w14:paraId="3C0B25E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职责</w:t>
      </w:r>
    </w:p>
    <w:p w14:paraId="426029D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3366B58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w:t>
      </w:r>
      <w:r>
        <w:rPr>
          <w:rFonts w:hint="eastAsia" w:ascii="仿宋_GB2312" w:hAnsi="仿宋" w:eastAsia="仿宋_GB2312"/>
          <w:b/>
          <w:color w:val="000000"/>
          <w:sz w:val="30"/>
          <w:szCs w:val="30"/>
          <w:lang w:eastAsia="zh-CN"/>
        </w:rPr>
        <w:t>单位</w:t>
      </w:r>
      <w:r>
        <w:rPr>
          <w:rFonts w:hint="eastAsia" w:ascii="仿宋_GB2312" w:hAnsi="仿宋" w:eastAsia="仿宋_GB2312"/>
          <w:b/>
          <w:color w:val="000000"/>
          <w:sz w:val="30"/>
          <w:szCs w:val="30"/>
        </w:rPr>
        <w:t>预算情况说明</w:t>
      </w:r>
    </w:p>
    <w:p w14:paraId="62EC1DF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一、收支总体情况</w:t>
      </w:r>
    </w:p>
    <w:p w14:paraId="7E34633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二、一般公共预算情况</w:t>
      </w:r>
    </w:p>
    <w:p w14:paraId="077436C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三、一般公共预算财政拨款“三公”经费、培训费、会议费等情况</w:t>
      </w:r>
    </w:p>
    <w:p w14:paraId="1038244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四、一般公共预算财政拨款机关运行经费情况</w:t>
      </w:r>
    </w:p>
    <w:p w14:paraId="250D494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五、政府采购安排情况</w:t>
      </w:r>
    </w:p>
    <w:p w14:paraId="10B7660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六、国有资产占用情况</w:t>
      </w:r>
    </w:p>
    <w:p w14:paraId="75A54AA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七、其他重要事项情况说明</w:t>
      </w:r>
    </w:p>
    <w:p w14:paraId="3702CD3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八、预算绩效管理情况</w:t>
      </w:r>
    </w:p>
    <w:p w14:paraId="5FE7E71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九、名词解释</w:t>
      </w:r>
    </w:p>
    <w:p w14:paraId="043BE37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w:t>
      </w:r>
      <w:r>
        <w:rPr>
          <w:rFonts w:hint="eastAsia" w:ascii="仿宋_GB2312" w:hAnsi="仿宋" w:eastAsia="仿宋_GB2312"/>
          <w:b/>
          <w:color w:val="000000"/>
          <w:sz w:val="30"/>
          <w:szCs w:val="30"/>
          <w:lang w:eastAsia="zh-CN"/>
        </w:rPr>
        <w:t>单位</w:t>
      </w:r>
      <w:r>
        <w:rPr>
          <w:rFonts w:hint="eastAsia" w:ascii="仿宋_GB2312" w:hAnsi="仿宋" w:eastAsia="仿宋_GB2312"/>
          <w:b/>
          <w:color w:val="000000"/>
          <w:sz w:val="30"/>
          <w:szCs w:val="30"/>
        </w:rPr>
        <w:t>预算公开表</w:t>
      </w:r>
    </w:p>
    <w:p w14:paraId="3D99D79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收支总体情况表</w:t>
      </w:r>
    </w:p>
    <w:p w14:paraId="5017F95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收入总体情况表</w:t>
      </w:r>
    </w:p>
    <w:p w14:paraId="3E23B2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支出总体情况表</w:t>
      </w:r>
    </w:p>
    <w:p w14:paraId="2F9D719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24D48C0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178C8CB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720B9BD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0BB2CB5">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2F634A0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7B56A6D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41CB2A6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1D7DCF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19ACA5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整体支出绩效目标表和项目支出绩效目标表</w:t>
      </w:r>
    </w:p>
    <w:p w14:paraId="2CC32562">
      <w:pPr>
        <w:spacing w:line="660" w:lineRule="exact"/>
        <w:jc w:val="center"/>
        <w:rPr>
          <w:rFonts w:ascii="仿宋_GB2312" w:hAnsi="宋体" w:eastAsia="仿宋_GB2312" w:cs="宋体"/>
          <w:b/>
          <w:bCs/>
          <w:kern w:val="0"/>
          <w:sz w:val="44"/>
          <w:szCs w:val="44"/>
        </w:rPr>
      </w:pPr>
    </w:p>
    <w:p w14:paraId="5072115A">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1815AB1E">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7BD4125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年部门预算公开如下：</w:t>
      </w:r>
    </w:p>
    <w:p w14:paraId="773FDA59">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w:t>
      </w:r>
      <w:r>
        <w:rPr>
          <w:rFonts w:hint="eastAsia" w:ascii="黑体" w:hAnsi="黑体" w:eastAsia="黑体" w:cs="宋体"/>
          <w:kern w:val="0"/>
          <w:sz w:val="32"/>
          <w:szCs w:val="32"/>
          <w:lang w:eastAsia="zh-CN"/>
        </w:rPr>
        <w:t>单位</w:t>
      </w:r>
      <w:r>
        <w:rPr>
          <w:rFonts w:hint="eastAsia" w:ascii="黑体" w:hAnsi="黑体" w:eastAsia="黑体" w:cs="宋体"/>
          <w:kern w:val="0"/>
          <w:sz w:val="32"/>
          <w:szCs w:val="32"/>
        </w:rPr>
        <w:t>职责</w:t>
      </w:r>
    </w:p>
    <w:p w14:paraId="5152083B">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1.</w:t>
      </w:r>
      <w:r>
        <w:rPr>
          <w:rFonts w:hint="eastAsia" w:ascii="仿宋_GB2312" w:hAnsi="仿宋" w:eastAsia="仿宋_GB2312" w:cs="宋体"/>
          <w:kern w:val="0"/>
          <w:sz w:val="32"/>
          <w:szCs w:val="32"/>
        </w:rPr>
        <w:t>宣传和贯彻执行党的路线方针政策和法律法规；制定地方经济社会发展规划和年度计划并组织实施；坚持依法行政，推进民主政治，加强基层政权建设；做好民生保障、社会治理、为民服务和社区工作</w:t>
      </w:r>
      <w:r>
        <w:rPr>
          <w:rFonts w:hint="eastAsia" w:ascii="仿宋_GB2312" w:hAnsi="仿宋" w:eastAsia="仿宋_GB2312" w:cs="宋体"/>
          <w:kern w:val="0"/>
          <w:sz w:val="32"/>
          <w:szCs w:val="32"/>
          <w:lang w:eastAsia="zh-CN"/>
        </w:rPr>
        <w:t>。</w:t>
      </w:r>
    </w:p>
    <w:p w14:paraId="4A11B23F">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2.</w:t>
      </w:r>
      <w:r>
        <w:rPr>
          <w:rFonts w:hint="eastAsia" w:ascii="仿宋_GB2312" w:hAnsi="仿宋" w:eastAsia="仿宋_GB2312" w:cs="宋体"/>
          <w:kern w:val="0"/>
          <w:sz w:val="32"/>
          <w:szCs w:val="32"/>
        </w:rPr>
        <w:t>规范经济管理，组织指导经济发展和经济结构调整；加强综合生产能力建设；健全社会化服务体系，完善产业支持保护体系，推进产业现代化；着力提升经济发展的质量和水平，增加居民收入，不断提高人民生活水平。</w:t>
      </w:r>
    </w:p>
    <w:p w14:paraId="3692F9C2">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3.</w:t>
      </w:r>
      <w:r>
        <w:rPr>
          <w:rFonts w:hint="eastAsia" w:ascii="仿宋_GB2312" w:hAnsi="仿宋" w:eastAsia="仿宋_GB2312" w:cs="宋体"/>
          <w:kern w:val="0"/>
          <w:sz w:val="32"/>
          <w:szCs w:val="32"/>
        </w:rPr>
        <w:t>加强社会管理，完善基础设施建设，改善人居环境；推进政务公开；加强社会治安综合治理、卫生健康、</w:t>
      </w:r>
      <w:r>
        <w:rPr>
          <w:rFonts w:hint="eastAsia" w:ascii="仿宋_GB2312" w:hAnsi="仿宋" w:eastAsia="仿宋_GB2312" w:cs="宋体"/>
          <w:kern w:val="0"/>
          <w:sz w:val="32"/>
          <w:szCs w:val="32"/>
          <w:lang w:eastAsia="zh-CN"/>
        </w:rPr>
        <w:t>保障妇女儿童合法权益</w:t>
      </w:r>
      <w:r>
        <w:rPr>
          <w:rFonts w:hint="eastAsia" w:ascii="仿宋_GB2312" w:hAnsi="仿宋" w:eastAsia="仿宋_GB2312" w:cs="宋体"/>
          <w:kern w:val="0"/>
          <w:sz w:val="32"/>
          <w:szCs w:val="32"/>
        </w:rPr>
        <w:t>等工作；加强自然资源管理、生态环境保护和修复等工作；保障退役军人合法权益；强化安全生产和公共安全，组织抢险救灾、优抚救助，及时上报和处置重大社情、疫情、险情等，保护人民群众的生命财产安全。</w:t>
      </w:r>
    </w:p>
    <w:p w14:paraId="5BC85FC7">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4.</w:t>
      </w:r>
      <w:r>
        <w:rPr>
          <w:rFonts w:hint="eastAsia" w:ascii="仿宋_GB2312" w:hAnsi="仿宋" w:eastAsia="仿宋_GB2312" w:cs="宋体"/>
          <w:kern w:val="0"/>
          <w:sz w:val="32"/>
          <w:szCs w:val="32"/>
        </w:rPr>
        <w:t>发展公益事业，强化公共服务；加强公共设施建设，开展就业和社会保障服务，着力解决群众生产生活中的问题；发展科教文卫事业，丰富居民群众文化生活，促进乡风文明；制定公共服务事项目录清单，加强公共服务体系建设。</w:t>
      </w:r>
    </w:p>
    <w:p w14:paraId="695268E5">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5.</w:t>
      </w:r>
      <w:r>
        <w:rPr>
          <w:rFonts w:hint="eastAsia" w:ascii="仿宋_GB2312" w:hAnsi="仿宋" w:eastAsia="仿宋_GB2312" w:cs="宋体"/>
          <w:kern w:val="0"/>
          <w:sz w:val="32"/>
          <w:szCs w:val="32"/>
        </w:rPr>
        <w:t>加强综合治理，维护社会稳定；强化民主</w:t>
      </w:r>
      <w:r>
        <w:rPr>
          <w:rFonts w:hint="eastAsia" w:ascii="仿宋_GB2312" w:hAnsi="仿宋" w:eastAsia="仿宋_GB2312" w:cs="宋体"/>
          <w:kern w:val="0"/>
          <w:sz w:val="32"/>
          <w:szCs w:val="32"/>
          <w:lang w:eastAsia="zh-CN"/>
        </w:rPr>
        <w:t>法治宣传教育</w:t>
      </w:r>
      <w:r>
        <w:rPr>
          <w:rFonts w:hint="eastAsia" w:ascii="仿宋_GB2312" w:hAnsi="仿宋" w:eastAsia="仿宋_GB2312" w:cs="宋体"/>
          <w:kern w:val="0"/>
          <w:sz w:val="32"/>
          <w:szCs w:val="32"/>
        </w:rPr>
        <w:t>，畅通诉求渠道、调解民事纠纷、化解社会矛盾，处理群体性突发事件，保证社会公正，维护社会秩序和社会稳定；指导居民自治，推动基层社会建设，促进社会组织健康发展，增强社会自治功能。</w:t>
      </w:r>
    </w:p>
    <w:p w14:paraId="49C52FA9">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6.</w:t>
      </w:r>
      <w:r>
        <w:rPr>
          <w:rFonts w:hint="eastAsia" w:ascii="仿宋_GB2312" w:hAnsi="仿宋" w:eastAsia="仿宋_GB2312" w:cs="宋体"/>
          <w:kern w:val="0"/>
          <w:sz w:val="32"/>
          <w:szCs w:val="32"/>
        </w:rPr>
        <w:t>依法依规承担下放的经济社会管理权限和行政执法事项。</w:t>
      </w:r>
    </w:p>
    <w:p w14:paraId="6AA67E32">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7.</w:t>
      </w:r>
      <w:r>
        <w:rPr>
          <w:rFonts w:hint="eastAsia" w:ascii="仿宋_GB2312" w:hAnsi="仿宋" w:eastAsia="仿宋_GB2312" w:cs="宋体"/>
          <w:kern w:val="0"/>
          <w:sz w:val="32"/>
          <w:szCs w:val="32"/>
        </w:rPr>
        <w:t>完成县委、县政府交办的其他工作。</w:t>
      </w:r>
    </w:p>
    <w:p w14:paraId="7F602C1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21FB7BB">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189C3110">
      <w:pPr>
        <w:spacing w:line="600" w:lineRule="exact"/>
        <w:ind w:firstLine="640" w:firstLineChars="200"/>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根据肃南裕固族自治县</w:t>
      </w:r>
      <w:r>
        <w:rPr>
          <w:rFonts w:hint="eastAsia" w:ascii="仿宋_GB2312" w:hAnsi="仿宋" w:eastAsia="仿宋_GB2312" w:cs="宋体"/>
          <w:kern w:val="0"/>
          <w:sz w:val="32"/>
          <w:szCs w:val="32"/>
          <w:highlight w:val="none"/>
          <w:lang w:eastAsia="zh-CN"/>
        </w:rPr>
        <w:t>明花镇</w:t>
      </w:r>
      <w:r>
        <w:rPr>
          <w:rFonts w:hint="eastAsia" w:ascii="仿宋_GB2312" w:hAnsi="仿宋" w:eastAsia="仿宋_GB2312" w:cs="宋体"/>
          <w:kern w:val="0"/>
          <w:sz w:val="32"/>
          <w:szCs w:val="32"/>
          <w:highlight w:val="none"/>
        </w:rPr>
        <w:t>职能配置、机构设置和人员编制规定，</w:t>
      </w:r>
      <w:r>
        <w:rPr>
          <w:rFonts w:hint="eastAsia" w:ascii="仿宋_GB2312" w:hAnsi="仿宋" w:eastAsia="仿宋_GB2312" w:cs="宋体"/>
          <w:kern w:val="0"/>
          <w:sz w:val="32"/>
          <w:szCs w:val="32"/>
          <w:highlight w:val="none"/>
          <w:lang w:eastAsia="zh-CN"/>
        </w:rPr>
        <w:t>明花镇</w:t>
      </w:r>
      <w:r>
        <w:rPr>
          <w:rFonts w:hint="eastAsia" w:ascii="仿宋_GB2312" w:hAnsi="仿宋" w:eastAsia="仿宋_GB2312" w:cs="宋体"/>
          <w:kern w:val="0"/>
          <w:sz w:val="32"/>
          <w:szCs w:val="32"/>
          <w:highlight w:val="none"/>
        </w:rPr>
        <w:t>党委、政府设置</w:t>
      </w:r>
      <w:r>
        <w:rPr>
          <w:rFonts w:hint="eastAsia" w:ascii="仿宋_GB2312" w:hAnsi="仿宋" w:eastAsia="仿宋_GB2312" w:cs="宋体"/>
          <w:kern w:val="0"/>
          <w:sz w:val="32"/>
          <w:szCs w:val="32"/>
          <w:highlight w:val="none"/>
          <w:lang w:val="en-US" w:eastAsia="zh-CN"/>
        </w:rPr>
        <w:t>内设机构</w:t>
      </w:r>
      <w:r>
        <w:rPr>
          <w:rFonts w:hint="eastAsia" w:ascii="仿宋_GB2312" w:hAnsi="仿宋" w:eastAsia="仿宋_GB2312" w:cs="宋体"/>
          <w:kern w:val="0"/>
          <w:sz w:val="32"/>
          <w:szCs w:val="32"/>
          <w:highlight w:val="none"/>
        </w:rPr>
        <w:t>4个和事业单位</w:t>
      </w:r>
      <w:r>
        <w:rPr>
          <w:rFonts w:hint="eastAsia" w:ascii="仿宋_GB2312" w:hAnsi="仿宋" w:eastAsia="仿宋_GB2312" w:cs="宋体"/>
          <w:kern w:val="0"/>
          <w:sz w:val="32"/>
          <w:szCs w:val="32"/>
          <w:highlight w:val="none"/>
          <w:lang w:val="en-US" w:eastAsia="zh-CN"/>
        </w:rPr>
        <w:t>3</w:t>
      </w:r>
      <w:r>
        <w:rPr>
          <w:rFonts w:hint="eastAsia" w:ascii="仿宋_GB2312" w:hAnsi="仿宋" w:eastAsia="仿宋_GB2312" w:cs="宋体"/>
          <w:kern w:val="0"/>
          <w:sz w:val="32"/>
          <w:szCs w:val="32"/>
          <w:highlight w:val="none"/>
        </w:rPr>
        <w:t>个。4个</w:t>
      </w:r>
      <w:r>
        <w:rPr>
          <w:rFonts w:hint="eastAsia" w:ascii="仿宋_GB2312" w:hAnsi="仿宋" w:eastAsia="仿宋_GB2312" w:cs="宋体"/>
          <w:kern w:val="0"/>
          <w:sz w:val="32"/>
          <w:szCs w:val="32"/>
          <w:highlight w:val="none"/>
          <w:lang w:val="en-US" w:eastAsia="zh-CN"/>
        </w:rPr>
        <w:t>内设</w:t>
      </w:r>
      <w:r>
        <w:rPr>
          <w:rFonts w:hint="eastAsia" w:ascii="仿宋_GB2312" w:hAnsi="仿宋" w:eastAsia="仿宋_GB2312" w:cs="宋体"/>
          <w:kern w:val="0"/>
          <w:sz w:val="32"/>
          <w:szCs w:val="32"/>
          <w:highlight w:val="none"/>
        </w:rPr>
        <w:t>机构分别是党政综合办公室、党建工作办公室、经济发展和社会事务办公室、</w:t>
      </w:r>
      <w:r>
        <w:rPr>
          <w:rFonts w:hint="eastAsia" w:ascii="仿宋_GB2312" w:hAnsi="仿宋" w:eastAsia="仿宋_GB2312" w:cs="宋体"/>
          <w:kern w:val="0"/>
          <w:sz w:val="32"/>
          <w:szCs w:val="32"/>
          <w:highlight w:val="none"/>
          <w:lang w:val="en-US" w:eastAsia="zh-CN"/>
        </w:rPr>
        <w:t>平安法治办公室（</w:t>
      </w:r>
      <w:r>
        <w:rPr>
          <w:rFonts w:hint="eastAsia" w:ascii="仿宋_GB2312" w:hAnsi="仿宋" w:eastAsia="仿宋_GB2312" w:cs="宋体"/>
          <w:kern w:val="0"/>
          <w:sz w:val="32"/>
          <w:szCs w:val="32"/>
          <w:highlight w:val="none"/>
        </w:rPr>
        <w:t>社会</w:t>
      </w:r>
      <w:r>
        <w:rPr>
          <w:rFonts w:hint="eastAsia" w:ascii="仿宋_GB2312" w:hAnsi="仿宋" w:eastAsia="仿宋_GB2312" w:cs="宋体"/>
          <w:kern w:val="0"/>
          <w:sz w:val="32"/>
          <w:szCs w:val="32"/>
          <w:highlight w:val="none"/>
          <w:lang w:val="en-US" w:eastAsia="zh-CN"/>
        </w:rPr>
        <w:t>治安综合治理中心）</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val="en-US" w:eastAsia="zh-CN"/>
        </w:rPr>
        <w:t>3</w:t>
      </w:r>
      <w:r>
        <w:rPr>
          <w:rFonts w:hint="eastAsia" w:ascii="仿宋_GB2312" w:hAnsi="仿宋" w:eastAsia="仿宋_GB2312" w:cs="宋体"/>
          <w:kern w:val="0"/>
          <w:sz w:val="32"/>
          <w:szCs w:val="32"/>
          <w:highlight w:val="none"/>
        </w:rPr>
        <w:t>个事业单位分别是</w:t>
      </w:r>
      <w:r>
        <w:rPr>
          <w:rFonts w:hint="eastAsia" w:ascii="仿宋_GB2312" w:hAnsi="仿宋" w:eastAsia="仿宋_GB2312" w:cs="宋体"/>
          <w:kern w:val="0"/>
          <w:sz w:val="32"/>
          <w:szCs w:val="32"/>
          <w:highlight w:val="none"/>
          <w:lang w:val="en-US" w:eastAsia="zh-CN"/>
        </w:rPr>
        <w:t>党群服务中心、农业农村综合服务</w:t>
      </w:r>
      <w:r>
        <w:rPr>
          <w:rFonts w:hint="eastAsia" w:ascii="仿宋_GB2312" w:hAnsi="仿宋" w:eastAsia="仿宋_GB2312" w:cs="宋体"/>
          <w:kern w:val="0"/>
          <w:sz w:val="32"/>
          <w:szCs w:val="32"/>
          <w:highlight w:val="none"/>
        </w:rPr>
        <w:t>中心、综合执法队。</w:t>
      </w:r>
    </w:p>
    <w:p w14:paraId="348C6164">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11D2B8FC">
      <w:pPr>
        <w:spacing w:line="600" w:lineRule="exact"/>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无</w:t>
      </w:r>
    </w:p>
    <w:p w14:paraId="4940C8A8">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1E26E93B">
      <w:pPr>
        <w:spacing w:line="600" w:lineRule="exact"/>
        <w:ind w:firstLine="640" w:firstLineChars="200"/>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无</w:t>
      </w:r>
    </w:p>
    <w:p w14:paraId="323C90E1">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w:t>
      </w:r>
      <w:r>
        <w:rPr>
          <w:rFonts w:hint="eastAsia" w:ascii="黑体" w:hAnsi="黑体" w:eastAsia="黑体" w:cs="宋体"/>
          <w:kern w:val="0"/>
          <w:sz w:val="32"/>
          <w:szCs w:val="32"/>
          <w:lang w:eastAsia="zh-CN"/>
        </w:rPr>
        <w:t>单位</w:t>
      </w:r>
      <w:r>
        <w:rPr>
          <w:rFonts w:hint="eastAsia" w:ascii="黑体" w:hAnsi="黑体" w:eastAsia="黑体" w:cs="宋体"/>
          <w:kern w:val="0"/>
          <w:sz w:val="32"/>
          <w:szCs w:val="32"/>
        </w:rPr>
        <w:t>收支总体情况</w:t>
      </w:r>
    </w:p>
    <w:p w14:paraId="3A343D87">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eastAsia="zh-CN"/>
        </w:rPr>
        <w:t>单位</w:t>
      </w:r>
      <w:r>
        <w:rPr>
          <w:rFonts w:hint="eastAsia" w:ascii="仿宋_GB2312" w:hAnsi="仿宋" w:eastAsia="仿宋_GB2312" w:cs="宋体"/>
          <w:kern w:val="0"/>
          <w:sz w:val="32"/>
          <w:szCs w:val="32"/>
        </w:rPr>
        <w:t>收支包括机关预算和直属单位预算在内的汇总情况。</w:t>
      </w:r>
    </w:p>
    <w:p w14:paraId="019AD130">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1298.41</w:t>
      </w:r>
      <w:r>
        <w:rPr>
          <w:rFonts w:hint="eastAsia" w:ascii="仿宋_GB2312" w:hAnsi="仿宋" w:eastAsia="仿宋_GB2312" w:cs="宋体"/>
          <w:kern w:val="0"/>
          <w:sz w:val="32"/>
          <w:szCs w:val="32"/>
        </w:rPr>
        <w:t>万元。按照综合预算的原则，</w:t>
      </w:r>
      <w:r>
        <w:rPr>
          <w:rFonts w:hint="eastAsia" w:ascii="仿宋_GB2312" w:hAnsi="仿宋" w:eastAsia="仿宋_GB2312" w:cs="宋体"/>
          <w:kern w:val="0"/>
          <w:sz w:val="32"/>
          <w:szCs w:val="32"/>
          <w:lang w:eastAsia="zh-CN"/>
        </w:rPr>
        <w:t>单位</w:t>
      </w:r>
      <w:r>
        <w:rPr>
          <w:rFonts w:hint="eastAsia" w:ascii="仿宋_GB2312" w:hAnsi="仿宋" w:eastAsia="仿宋_GB2312" w:cs="宋体"/>
          <w:kern w:val="0"/>
          <w:sz w:val="32"/>
          <w:szCs w:val="32"/>
        </w:rPr>
        <w:t>所有收入和支出均纳入部门预算管理。收入包括：</w:t>
      </w:r>
      <w:r>
        <w:rPr>
          <w:rFonts w:hint="eastAsia" w:ascii="仿宋_GB2312" w:hAnsi="仿宋" w:eastAsia="仿宋_GB2312" w:cs="宋体"/>
          <w:kern w:val="0"/>
          <w:sz w:val="32"/>
          <w:szCs w:val="32"/>
          <w:lang w:eastAsia="zh-CN"/>
        </w:rPr>
        <w:t>一般公共预算财政拨款</w:t>
      </w:r>
      <w:r>
        <w:rPr>
          <w:rFonts w:hint="eastAsia" w:ascii="仿宋_GB2312" w:hAnsi="仿宋" w:eastAsia="仿宋_GB2312" w:cs="宋体"/>
          <w:kern w:val="0"/>
          <w:sz w:val="32"/>
          <w:szCs w:val="32"/>
        </w:rPr>
        <w:t>收入、政府性基金预算拨款收入、国有资本经营预算收入事业收入、教育专户核算、上级补助收入</w:t>
      </w:r>
      <w:r>
        <w:rPr>
          <w:rFonts w:hint="eastAsia" w:ascii="仿宋_GB2312" w:hAnsi="仿宋" w:eastAsia="仿宋_GB2312" w:cs="宋体"/>
          <w:kern w:val="0"/>
          <w:sz w:val="32"/>
          <w:szCs w:val="32"/>
          <w:lang w:eastAsia="zh-CN"/>
        </w:rPr>
        <w:t>、附属单位上缴收入、经营收入、</w:t>
      </w:r>
      <w:r>
        <w:rPr>
          <w:rFonts w:hint="eastAsia" w:ascii="仿宋_GB2312" w:hAnsi="仿宋" w:eastAsia="仿宋_GB2312" w:cs="宋体"/>
          <w:kern w:val="0"/>
          <w:sz w:val="32"/>
          <w:szCs w:val="32"/>
        </w:rPr>
        <w:t>其他收入；支出包括：一般公共服务支出、文化旅游体育与传媒支出</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社会保障和就业支出、卫生健康支出、城乡社区支出</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住房保障支出、其他支出。</w:t>
      </w:r>
    </w:p>
    <w:p w14:paraId="32FD1C5B">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29202022">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1298.41</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单位</w:t>
      </w:r>
      <w:r>
        <w:rPr>
          <w:rFonts w:hint="eastAsia" w:ascii="仿宋_GB2312" w:hAnsi="仿宋" w:eastAsia="仿宋_GB2312"/>
          <w:sz w:val="32"/>
          <w:szCs w:val="32"/>
        </w:rPr>
        <w:t>预算公开表1,2）。包括：</w:t>
      </w:r>
    </w:p>
    <w:p w14:paraId="6ED9DF59">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1298.41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2593F1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9CCB5CC">
      <w:pPr>
        <w:widowControl/>
        <w:spacing w:line="56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 xml:space="preserve"> </w:t>
      </w:r>
    </w:p>
    <w:p w14:paraId="3A4EAE9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AE4911D">
      <w:pPr>
        <w:adjustRightInd w:val="0"/>
        <w:snapToGrid w:val="0"/>
        <w:spacing w:line="240" w:lineRule="auto"/>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lang w:val="en-US" w:eastAsia="zh-CN"/>
        </w:rPr>
        <w:t xml:space="preserve">  </w:t>
      </w:r>
      <w:r>
        <w:rPr>
          <w:rFonts w:hint="eastAsia" w:ascii="楷体_GB2312" w:hAnsi="楷体" w:eastAsia="楷体_GB2312" w:cs="宋体"/>
          <w:b/>
          <w:bCs/>
          <w:kern w:val="0"/>
          <w:sz w:val="32"/>
          <w:szCs w:val="32"/>
        </w:rPr>
        <w:drawing>
          <wp:inline distT="0" distB="0" distL="114300" distR="114300">
            <wp:extent cx="4036060" cy="3838575"/>
            <wp:effectExtent l="0" t="0" r="2540" b="9525"/>
            <wp:docPr id="10" name="图片 10"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6"/>
                    <pic:cNvPicPr>
                      <a:picLocks noChangeAspect="1"/>
                    </pic:cNvPicPr>
                  </pic:nvPicPr>
                  <pic:blipFill>
                    <a:blip r:embed="rId6"/>
                    <a:stretch>
                      <a:fillRect/>
                    </a:stretch>
                  </pic:blipFill>
                  <pic:spPr>
                    <a:xfrm>
                      <a:off x="0" y="0"/>
                      <a:ext cx="4036060" cy="3838575"/>
                    </a:xfrm>
                    <a:prstGeom prst="rect">
                      <a:avLst/>
                    </a:prstGeom>
                  </pic:spPr>
                </pic:pic>
              </a:graphicData>
            </a:graphic>
          </wp:inline>
        </w:drawing>
      </w:r>
    </w:p>
    <w:p w14:paraId="59730457">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2D0AA466">
      <w:pPr>
        <w:widowControl/>
        <w:adjustRightInd w:val="0"/>
        <w:snapToGrid w:val="0"/>
        <w:spacing w:line="640" w:lineRule="exact"/>
        <w:ind w:firstLine="640" w:firstLineChars="200"/>
        <w:contextualSpacing/>
        <w:jc w:val="left"/>
        <w:rPr>
          <w:rStyle w:val="20"/>
          <w:rFonts w:hint="default" w:hAnsi="仿宋"/>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1298.41</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单位</w:t>
      </w:r>
      <w:r>
        <w:rPr>
          <w:rFonts w:hint="eastAsia" w:ascii="仿宋_GB2312" w:hAnsi="仿宋" w:eastAsia="仿宋_GB2312"/>
          <w:sz w:val="32"/>
          <w:szCs w:val="32"/>
        </w:rPr>
        <w:t>预算公开表3）。</w:t>
      </w:r>
      <w:r>
        <w:rPr>
          <w:rStyle w:val="20"/>
          <w:rFonts w:hint="default" w:hAnsi="仿宋"/>
        </w:rPr>
        <w:t>其中：基本支出</w:t>
      </w:r>
      <w:r>
        <w:rPr>
          <w:rStyle w:val="20"/>
          <w:rFonts w:hint="eastAsia" w:hAnsi="仿宋" w:eastAsia="仿宋_GB2312"/>
          <w:lang w:val="en-US" w:eastAsia="zh-CN"/>
        </w:rPr>
        <w:t>1138.70</w:t>
      </w:r>
      <w:r>
        <w:rPr>
          <w:rStyle w:val="20"/>
          <w:rFonts w:hint="default" w:hAnsi="仿宋"/>
        </w:rPr>
        <w:t>万元，占</w:t>
      </w:r>
      <w:r>
        <w:rPr>
          <w:rStyle w:val="20"/>
          <w:rFonts w:hint="eastAsia" w:hAnsi="仿宋" w:eastAsia="仿宋_GB2312"/>
          <w:lang w:val="en-US" w:eastAsia="zh-CN"/>
        </w:rPr>
        <w:t>87.69</w:t>
      </w:r>
      <w:r>
        <w:rPr>
          <w:rStyle w:val="21"/>
          <w:rFonts w:hint="eastAsia" w:ascii="仿宋_GB2312" w:hAnsi="仿宋" w:eastAsia="仿宋_GB2312"/>
        </w:rPr>
        <w:t>%</w:t>
      </w:r>
      <w:r>
        <w:rPr>
          <w:rStyle w:val="20"/>
          <w:rFonts w:hint="default" w:hAnsi="仿宋"/>
        </w:rPr>
        <w:t>；项目支出</w:t>
      </w:r>
      <w:r>
        <w:rPr>
          <w:rStyle w:val="20"/>
          <w:rFonts w:hint="eastAsia" w:hAnsi="仿宋" w:eastAsia="仿宋_GB2312"/>
          <w:lang w:val="en-US" w:eastAsia="zh-CN"/>
        </w:rPr>
        <w:t>159.70</w:t>
      </w:r>
      <w:r>
        <w:rPr>
          <w:rStyle w:val="20"/>
          <w:rFonts w:hint="default" w:hAnsi="仿宋"/>
        </w:rPr>
        <w:t>万元，占</w:t>
      </w:r>
      <w:r>
        <w:rPr>
          <w:rStyle w:val="20"/>
          <w:rFonts w:hint="eastAsia" w:hAnsi="仿宋" w:eastAsia="仿宋_GB2312"/>
          <w:lang w:val="en-US" w:eastAsia="zh-CN"/>
        </w:rPr>
        <w:t>12.31</w:t>
      </w:r>
      <w:r>
        <w:rPr>
          <w:rStyle w:val="21"/>
          <w:rFonts w:hint="eastAsia" w:ascii="仿宋_GB2312" w:hAnsi="仿宋" w:eastAsia="仿宋_GB2312"/>
        </w:rPr>
        <w:t>%</w:t>
      </w:r>
      <w:r>
        <w:rPr>
          <w:rStyle w:val="20"/>
          <w:rFonts w:hint="default" w:hAnsi="仿宋"/>
        </w:rPr>
        <w:t>；上年结转</w:t>
      </w:r>
      <w:r>
        <w:rPr>
          <w:rStyle w:val="20"/>
          <w:rFonts w:hint="eastAsia" w:hAnsi="仿宋" w:eastAsia="仿宋_GB2312"/>
          <w:lang w:val="en-US" w:eastAsia="zh-CN"/>
        </w:rPr>
        <w:t>0</w:t>
      </w:r>
      <w:r>
        <w:rPr>
          <w:rStyle w:val="20"/>
          <w:rFonts w:hint="default" w:hAnsi="仿宋"/>
        </w:rPr>
        <w:t>万元，占</w:t>
      </w:r>
      <w:r>
        <w:rPr>
          <w:rStyle w:val="20"/>
          <w:rFonts w:hint="eastAsia" w:hAnsi="仿宋" w:eastAsia="仿宋_GB2312"/>
          <w:lang w:val="en-US" w:eastAsia="zh-CN"/>
        </w:rPr>
        <w:t>0</w:t>
      </w:r>
      <w:r>
        <w:rPr>
          <w:rStyle w:val="21"/>
          <w:rFonts w:hint="eastAsia" w:ascii="仿宋_GB2312" w:hAnsi="仿宋" w:eastAsia="仿宋_GB2312"/>
        </w:rPr>
        <w:t>%</w:t>
      </w:r>
      <w:r>
        <w:rPr>
          <w:rStyle w:val="20"/>
          <w:rFonts w:hint="default" w:hAnsi="仿宋"/>
        </w:rPr>
        <w:t>。</w:t>
      </w:r>
    </w:p>
    <w:p w14:paraId="7F1C0542">
      <w:pPr>
        <w:widowControl/>
        <w:adjustRightInd w:val="0"/>
        <w:snapToGrid w:val="0"/>
        <w:spacing w:line="240" w:lineRule="auto"/>
        <w:contextualSpacing/>
        <w:jc w:val="left"/>
        <w:rPr>
          <w:rStyle w:val="20"/>
          <w:rFonts w:hint="eastAsia" w:hAnsi="仿宋" w:eastAsia="仿宋_GB2312"/>
          <w:lang w:eastAsia="zh-CN"/>
        </w:rPr>
      </w:pPr>
      <w:r>
        <w:rPr>
          <w:rStyle w:val="20"/>
          <w:rFonts w:hint="eastAsia" w:hAnsi="仿宋" w:eastAsia="仿宋_GB2312"/>
          <w:lang w:eastAsia="zh-CN"/>
        </w:rPr>
        <w:drawing>
          <wp:inline distT="0" distB="0" distL="114300" distR="114300">
            <wp:extent cx="4463415" cy="4731385"/>
            <wp:effectExtent l="0" t="0" r="13335" b="12065"/>
            <wp:docPr id="11" name="图片 11" descr="饼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饼状"/>
                    <pic:cNvPicPr>
                      <a:picLocks noChangeAspect="1"/>
                    </pic:cNvPicPr>
                  </pic:nvPicPr>
                  <pic:blipFill>
                    <a:blip r:embed="rId7"/>
                    <a:stretch>
                      <a:fillRect/>
                    </a:stretch>
                  </pic:blipFill>
                  <pic:spPr>
                    <a:xfrm>
                      <a:off x="0" y="0"/>
                      <a:ext cx="4463415" cy="4731385"/>
                    </a:xfrm>
                    <a:prstGeom prst="rect">
                      <a:avLst/>
                    </a:prstGeom>
                  </pic:spPr>
                </pic:pic>
              </a:graphicData>
            </a:graphic>
          </wp:inline>
        </w:drawing>
      </w:r>
    </w:p>
    <w:p w14:paraId="1E6C3B06">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7F222820">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Style w:val="21"/>
          <w:rFonts w:hint="eastAsia" w:ascii="仿宋_GB2312" w:hAnsi="仿宋" w:eastAsia="仿宋_GB2312"/>
          <w:lang w:eastAsia="zh-CN"/>
        </w:rPr>
        <w:t>202</w:t>
      </w:r>
      <w:r>
        <w:rPr>
          <w:rStyle w:val="21"/>
          <w:rFonts w:hint="eastAsia" w:ascii="仿宋_GB2312" w:hAnsi="仿宋" w:eastAsia="仿宋_GB2312"/>
          <w:lang w:val="en-US" w:eastAsia="zh-CN"/>
        </w:rPr>
        <w:t>6</w:t>
      </w:r>
      <w:r>
        <w:rPr>
          <w:rStyle w:val="20"/>
          <w:rFonts w:hint="default" w:hAnsi="仿宋"/>
        </w:rPr>
        <w:t>年一般公共预算当年支出</w:t>
      </w:r>
      <w:r>
        <w:rPr>
          <w:rStyle w:val="20"/>
          <w:rFonts w:hint="eastAsia" w:hAnsi="仿宋" w:eastAsia="仿宋_GB2312"/>
          <w:lang w:val="en-US" w:eastAsia="zh-CN"/>
        </w:rPr>
        <w:t>1298.41</w:t>
      </w:r>
      <w:r>
        <w:rPr>
          <w:rStyle w:val="20"/>
          <w:rFonts w:hint="default" w:hAnsi="仿宋"/>
        </w:rPr>
        <w:t>万元，包括：一般公共服务支出</w:t>
      </w:r>
      <w:r>
        <w:rPr>
          <w:rStyle w:val="20"/>
          <w:rFonts w:hint="eastAsia" w:hAnsi="仿宋" w:eastAsia="仿宋_GB2312"/>
          <w:lang w:val="en-US" w:eastAsia="zh-CN"/>
        </w:rPr>
        <w:t>987.08</w:t>
      </w:r>
      <w:r>
        <w:rPr>
          <w:rStyle w:val="20"/>
          <w:rFonts w:hint="default" w:hAnsi="仿宋"/>
        </w:rPr>
        <w:t>万元、</w:t>
      </w:r>
      <w:r>
        <w:rPr>
          <w:rStyle w:val="20"/>
          <w:rFonts w:hint="eastAsia" w:hAnsi="仿宋" w:eastAsia="仿宋_GB2312"/>
          <w:lang w:val="en-US" w:eastAsia="zh-CN"/>
        </w:rPr>
        <w:t>社会保障和就业</w:t>
      </w:r>
      <w:r>
        <w:rPr>
          <w:rStyle w:val="20"/>
          <w:rFonts w:hint="default" w:hAnsi="仿宋"/>
        </w:rPr>
        <w:t>支出</w:t>
      </w:r>
      <w:r>
        <w:rPr>
          <w:rStyle w:val="20"/>
          <w:rFonts w:hint="eastAsia" w:hAnsi="仿宋" w:eastAsia="仿宋_GB2312"/>
          <w:lang w:val="en-US" w:eastAsia="zh-CN"/>
        </w:rPr>
        <w:t>97.69</w:t>
      </w:r>
      <w:r>
        <w:rPr>
          <w:rStyle w:val="20"/>
          <w:rFonts w:hint="default" w:hAnsi="仿宋"/>
        </w:rPr>
        <w:t>万元、医疗卫生与计划生育支出</w:t>
      </w:r>
      <w:r>
        <w:rPr>
          <w:rStyle w:val="20"/>
          <w:rFonts w:hint="eastAsia" w:hAnsi="仿宋" w:eastAsia="仿宋_GB2312"/>
          <w:lang w:val="en-US" w:eastAsia="zh-CN"/>
        </w:rPr>
        <w:t>66.19万元、</w:t>
      </w:r>
      <w:r>
        <w:rPr>
          <w:rStyle w:val="20"/>
          <w:rFonts w:hint="default" w:hAnsi="仿宋"/>
        </w:rPr>
        <w:t>住房保障支出</w:t>
      </w:r>
      <w:r>
        <w:rPr>
          <w:rStyle w:val="20"/>
          <w:rFonts w:hint="eastAsia" w:hAnsi="仿宋" w:eastAsia="仿宋_GB2312"/>
          <w:lang w:val="en-US" w:eastAsia="zh-CN"/>
        </w:rPr>
        <w:t>75.44</w:t>
      </w:r>
      <w:r>
        <w:rPr>
          <w:rStyle w:val="20"/>
          <w:rFonts w:hint="default" w:hAnsi="仿宋"/>
        </w:rPr>
        <w:t>万元</w:t>
      </w:r>
      <w:r>
        <w:rPr>
          <w:rStyle w:val="20"/>
          <w:rFonts w:hint="eastAsia" w:hAnsi="仿宋" w:eastAsia="仿宋_GB2312"/>
          <w:lang w:eastAsia="zh-CN"/>
        </w:rPr>
        <w:t>；农林水支出72.00万元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w:t>
      </w:r>
      <w:r>
        <w:rPr>
          <w:rFonts w:hint="eastAsia" w:ascii="仿宋_GB2312" w:hAnsi="微软雅黑" w:eastAsia="仿宋_GB2312"/>
          <w:sz w:val="32"/>
          <w:szCs w:val="32"/>
          <w:lang w:eastAsia="zh-CN"/>
        </w:rPr>
        <w:t>单位</w:t>
      </w:r>
      <w:r>
        <w:rPr>
          <w:rFonts w:hint="eastAsia" w:ascii="仿宋_GB2312" w:hAnsi="微软雅黑" w:eastAsia="仿宋_GB2312"/>
          <w:sz w:val="32"/>
          <w:szCs w:val="32"/>
        </w:rPr>
        <w:t>预算公开表4,5,6,7）</w:t>
      </w:r>
      <w:r>
        <w:rPr>
          <w:rFonts w:hint="eastAsia" w:ascii="仿宋_GB2312" w:hAnsi="仿宋" w:eastAsia="仿宋_GB2312"/>
          <w:sz w:val="32"/>
          <w:szCs w:val="32"/>
        </w:rPr>
        <w:t>：</w:t>
      </w:r>
    </w:p>
    <w:p w14:paraId="4339BA98">
      <w:pPr>
        <w:widowControl/>
        <w:adjustRightInd w:val="0"/>
        <w:snapToGrid w:val="0"/>
        <w:spacing w:line="240" w:lineRule="auto"/>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inline distT="0" distB="0" distL="114300" distR="114300">
            <wp:extent cx="5924550" cy="5572125"/>
            <wp:effectExtent l="0" t="0" r="0" b="9525"/>
            <wp:docPr id="8" name="图片 8" descr="254E61D4-FD52-448c-AFCF-A2ABB501F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54E61D4-FD52-448c-AFCF-A2ABB501F77A"/>
                    <pic:cNvPicPr>
                      <a:picLocks noChangeAspect="1"/>
                    </pic:cNvPicPr>
                  </pic:nvPicPr>
                  <pic:blipFill>
                    <a:blip r:embed="rId8"/>
                    <a:stretch>
                      <a:fillRect/>
                    </a:stretch>
                  </pic:blipFill>
                  <pic:spPr>
                    <a:xfrm>
                      <a:off x="0" y="0"/>
                      <a:ext cx="5924550" cy="5572125"/>
                    </a:xfrm>
                    <a:prstGeom prst="rect">
                      <a:avLst/>
                    </a:prstGeom>
                  </pic:spPr>
                </pic:pic>
              </a:graphicData>
            </a:graphic>
          </wp:inline>
        </w:drawing>
      </w:r>
    </w:p>
    <w:p w14:paraId="5A706D0B">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6AA51A34">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1138.70</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增长150.08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增长13.18</w:t>
      </w:r>
      <w:r>
        <w:rPr>
          <w:rFonts w:hint="eastAsia" w:ascii="仿宋_GB2312" w:hAnsi="仿宋" w:eastAsia="仿宋_GB2312"/>
          <w:sz w:val="32"/>
          <w:szCs w:val="32"/>
        </w:rPr>
        <w:t>%，</w:t>
      </w:r>
      <w:r>
        <w:rPr>
          <w:rFonts w:hint="eastAsia" w:ascii="仿宋_GB2312" w:hAnsi="仿宋" w:eastAsia="仿宋_GB2312"/>
          <w:sz w:val="32"/>
          <w:szCs w:val="32"/>
          <w:lang w:val="en-US" w:eastAsia="zh-CN"/>
        </w:rPr>
        <w:t>增长</w:t>
      </w:r>
      <w:r>
        <w:rPr>
          <w:rFonts w:hint="eastAsia" w:ascii="仿宋_GB2312" w:hAnsi="仿宋" w:eastAsia="仿宋_GB2312"/>
          <w:sz w:val="32"/>
          <w:szCs w:val="32"/>
        </w:rPr>
        <w:t>的主要原因是</w:t>
      </w:r>
      <w:r>
        <w:rPr>
          <w:rFonts w:hint="eastAsia" w:ascii="仿宋_GB2312" w:hAnsi="仿宋" w:eastAsia="仿宋_GB2312"/>
          <w:sz w:val="32"/>
          <w:szCs w:val="32"/>
          <w:lang w:val="en-US" w:eastAsia="zh-CN"/>
        </w:rPr>
        <w:t>2025年比2024年人员增加，且在2025年财政供薪在职人员工资标准提高。</w:t>
      </w:r>
    </w:p>
    <w:p w14:paraId="2C9B507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959.96</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73A8A7F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178.74</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73D9655C">
      <w:pPr>
        <w:adjustRightInd w:val="0"/>
        <w:snapToGrid w:val="0"/>
        <w:spacing w:line="640" w:lineRule="exact"/>
        <w:ind w:firstLine="643" w:firstLineChars="200"/>
        <w:contextualSpacing/>
        <w:rPr>
          <w:rFonts w:hint="default" w:ascii="楷体_GB2312" w:hAnsi="楷体" w:eastAsia="楷体_GB2312" w:cs="宋体"/>
          <w:b/>
          <w:bCs/>
          <w:kern w:val="0"/>
          <w:sz w:val="32"/>
          <w:szCs w:val="32"/>
          <w:lang w:val="en-US" w:eastAsia="zh-CN"/>
        </w:rPr>
      </w:pPr>
      <w:r>
        <w:rPr>
          <w:rFonts w:hint="eastAsia" w:ascii="楷体_GB2312" w:hAnsi="楷体" w:eastAsia="楷体_GB2312" w:cs="宋体"/>
          <w:b/>
          <w:bCs/>
          <w:kern w:val="0"/>
          <w:sz w:val="32"/>
          <w:szCs w:val="32"/>
        </w:rPr>
        <w:t>（二）项目支出</w:t>
      </w:r>
    </w:p>
    <w:p w14:paraId="6A354A44">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159.70</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减少295.09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下降64.88</w:t>
      </w:r>
      <w:r>
        <w:rPr>
          <w:rFonts w:hint="eastAsia" w:ascii="仿宋_GB2312" w:hAnsi="仿宋" w:eastAsia="仿宋_GB2312"/>
          <w:sz w:val="32"/>
          <w:szCs w:val="32"/>
        </w:rPr>
        <w:t>%，</w:t>
      </w:r>
      <w:r>
        <w:rPr>
          <w:rFonts w:hint="eastAsia" w:ascii="仿宋_GB2312" w:hAnsi="仿宋" w:eastAsia="仿宋_GB2312"/>
          <w:sz w:val="32"/>
          <w:szCs w:val="32"/>
          <w:lang w:val="en-US" w:eastAsia="zh-CN"/>
        </w:rPr>
        <w:t>下降</w:t>
      </w:r>
      <w:r>
        <w:rPr>
          <w:rFonts w:hint="eastAsia" w:ascii="仿宋_GB2312" w:hAnsi="仿宋" w:eastAsia="仿宋_GB2312"/>
          <w:sz w:val="32"/>
          <w:szCs w:val="32"/>
        </w:rPr>
        <w:t>的主要原因</w:t>
      </w:r>
      <w:r>
        <w:rPr>
          <w:rFonts w:hint="eastAsia" w:ascii="仿宋_GB2312" w:hAnsi="仿宋" w:eastAsia="仿宋_GB2312"/>
          <w:sz w:val="32"/>
          <w:szCs w:val="32"/>
          <w:lang w:val="en-US" w:eastAsia="zh-CN"/>
        </w:rPr>
        <w:t>是村干部报酬和村级管理人员报酬乡镇不再预算。项目分别是2026年公共设施管理经费、2026年政协委员之家工作经费和政协联络组工作经费、2026年自收自支人员经费、2026年交管站经费、2026年基层应急管理体系能力建设资金、2026年人大代表活动经费、2026年乡镇武装经费、2026年老年福利服务中心经费、2026年村级公益性设施管护经费、2026年小海子西巷口胡杨林管护经费、2026年胡杨林及东西海子管护经费、2026年水利设施维护费。</w:t>
      </w:r>
    </w:p>
    <w:p w14:paraId="5C0821FC">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w:t>
      </w:r>
      <w:r>
        <w:rPr>
          <w:rFonts w:hint="eastAsia" w:ascii="黑体" w:hAnsi="黑体" w:eastAsia="黑体" w:cs="宋体"/>
          <w:kern w:val="0"/>
          <w:sz w:val="32"/>
          <w:szCs w:val="32"/>
          <w:lang w:eastAsia="zh-CN"/>
        </w:rPr>
        <w:t>单位</w:t>
      </w:r>
      <w:r>
        <w:rPr>
          <w:rFonts w:hint="eastAsia" w:ascii="黑体" w:hAnsi="黑体" w:eastAsia="黑体" w:cs="宋体"/>
          <w:kern w:val="0"/>
          <w:sz w:val="32"/>
          <w:szCs w:val="32"/>
        </w:rPr>
        <w:t>一般公共预算财政拨款“三公”经费、培训费、会议费等情况</w:t>
      </w:r>
    </w:p>
    <w:p w14:paraId="601439D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239BC713">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673681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1D570165">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752D00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71E72F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1964C4B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0.5</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0.49</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49.49</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的主要原因是根据过紧日子要求，进一步压减开支。</w:t>
      </w:r>
    </w:p>
    <w:p w14:paraId="7340376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2ADE4098">
      <w:pPr>
        <w:widowControl/>
        <w:adjustRightInd w:val="0"/>
        <w:snapToGrid w:val="0"/>
        <w:spacing w:line="640" w:lineRule="exact"/>
        <w:ind w:firstLine="640" w:firstLineChars="200"/>
        <w:contextualSpacing/>
        <w:jc w:val="left"/>
        <w:rPr>
          <w:rFonts w:hint="eastAsia" w:ascii="黑体" w:hAnsi="黑体" w:eastAsia="黑体" w:cs="宋体"/>
          <w:kern w:val="0"/>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eastAsia="zh-CN"/>
        </w:rPr>
        <w:t>持平</w:t>
      </w:r>
      <w:r>
        <w:rPr>
          <w:rFonts w:hint="eastAsia" w:ascii="仿宋_GB2312" w:hAnsi="仿宋" w:eastAsia="仿宋_GB2312"/>
          <w:sz w:val="32"/>
          <w:szCs w:val="32"/>
        </w:rPr>
        <w:t>。</w:t>
      </w:r>
    </w:p>
    <w:p w14:paraId="3188A43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highlight w:val="none"/>
        </w:rPr>
        <w:t>六、一般公共预算财政拨款机关运行经费情况</w:t>
      </w:r>
    </w:p>
    <w:p w14:paraId="46224DD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256.45</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增加0.4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0.2</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根据过紧日子要求，进一步压减开支</w:t>
      </w:r>
      <w:r>
        <w:rPr>
          <w:rFonts w:hint="eastAsia" w:ascii="仿宋_GB2312" w:hAnsi="仿宋" w:eastAsia="仿宋_GB2312"/>
          <w:sz w:val="32"/>
          <w:szCs w:val="32"/>
        </w:rPr>
        <w:t>。</w:t>
      </w:r>
    </w:p>
    <w:p w14:paraId="0B725B6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4CB7B33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eastAsia="zh-CN"/>
        </w:rPr>
        <w:t>单位</w:t>
      </w:r>
      <w:r>
        <w:rPr>
          <w:rFonts w:hint="eastAsia" w:ascii="仿宋_GB2312" w:hAnsi="仿宋" w:eastAsia="仿宋_GB2312"/>
          <w:sz w:val="32"/>
          <w:szCs w:val="32"/>
        </w:rPr>
        <w:t>政府采购预算总额</w:t>
      </w:r>
      <w:r>
        <w:rPr>
          <w:rFonts w:hint="eastAsia" w:ascii="仿宋_GB2312" w:hAnsi="仿宋" w:eastAsia="仿宋_GB2312"/>
          <w:sz w:val="32"/>
          <w:szCs w:val="32"/>
          <w:lang w:val="en-US" w:eastAsia="zh-CN"/>
        </w:rPr>
        <w:t>57.08</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4.08</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53</w:t>
      </w:r>
      <w:r>
        <w:rPr>
          <w:rFonts w:hint="eastAsia" w:ascii="仿宋_GB2312" w:hAnsi="仿宋" w:eastAsia="仿宋_GB2312"/>
          <w:sz w:val="32"/>
          <w:szCs w:val="32"/>
        </w:rPr>
        <w:t>万元。</w:t>
      </w:r>
    </w:p>
    <w:p w14:paraId="2DB1809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eastAsia="zh-CN"/>
        </w:rPr>
        <w:t>单位</w:t>
      </w:r>
      <w:r>
        <w:rPr>
          <w:rFonts w:hint="eastAsia" w:ascii="仿宋_GB2312" w:hAnsi="仿宋" w:eastAsia="仿宋_GB2312"/>
          <w:sz w:val="32"/>
          <w:szCs w:val="32"/>
        </w:rPr>
        <w:t xml:space="preserve">面向中小企业预留政府采购项目预算金额  </w:t>
      </w:r>
      <w:r>
        <w:rPr>
          <w:rFonts w:hint="eastAsia" w:ascii="仿宋_GB2312" w:hAnsi="仿宋" w:eastAsia="仿宋_GB2312"/>
          <w:sz w:val="32"/>
          <w:szCs w:val="32"/>
          <w:lang w:val="en-US" w:eastAsia="zh-CN"/>
        </w:rPr>
        <w:t>57.08</w:t>
      </w:r>
      <w:r>
        <w:rPr>
          <w:rFonts w:hint="eastAsia" w:ascii="仿宋_GB2312" w:hAnsi="仿宋" w:eastAsia="仿宋_GB2312"/>
          <w:sz w:val="32"/>
          <w:szCs w:val="32"/>
        </w:rPr>
        <w:t>万元，小微企业预留政府采购项目预算金额</w:t>
      </w:r>
      <w:r>
        <w:rPr>
          <w:rFonts w:hint="eastAsia" w:ascii="仿宋_GB2312" w:hAnsi="仿宋" w:eastAsia="仿宋_GB2312"/>
          <w:sz w:val="32"/>
          <w:szCs w:val="32"/>
          <w:lang w:val="en-US" w:eastAsia="zh-CN"/>
        </w:rPr>
        <w:t>57.08</w:t>
      </w:r>
      <w:r>
        <w:rPr>
          <w:rFonts w:hint="eastAsia" w:ascii="仿宋_GB2312" w:hAnsi="仿宋" w:eastAsia="仿宋_GB2312"/>
          <w:sz w:val="32"/>
          <w:szCs w:val="32"/>
        </w:rPr>
        <w:t>万元。</w:t>
      </w:r>
    </w:p>
    <w:p w14:paraId="51491811">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40D98744">
      <w:pPr>
        <w:adjustRightInd w:val="0"/>
        <w:snapToGrid w:val="0"/>
        <w:spacing w:line="640" w:lineRule="exact"/>
        <w:ind w:firstLine="640" w:firstLineChars="200"/>
        <w:contextualSpacing/>
        <w:rPr>
          <w:rFonts w:hint="eastAsia" w:ascii="仿宋_GB2312" w:hAnsi="仿宋" w:eastAsia="仿宋_GB2312"/>
          <w:sz w:val="32"/>
          <w:szCs w:val="32"/>
          <w:lang w:val="en-US" w:eastAsia="zh-CN"/>
        </w:rPr>
      </w:pPr>
      <w:r>
        <w:rPr>
          <w:rFonts w:hint="eastAsia" w:ascii="仿宋_GB2312" w:hAnsi="仿宋" w:eastAsia="仿宋_GB2312"/>
          <w:sz w:val="32"/>
          <w:szCs w:val="32"/>
        </w:rPr>
        <w:t>其上年末固定资产金额为 2275.79 万元。其中：土地、房屋及构筑物 2,095.57 万元，占固定资产的 92.16% （其中，房屋 683.08 万元，占固定资产的 30.04%）；设备 140.15 万元，占 6.16 %（其中，车辆 39.27 万元，占 1.73% ，单价 100</w:t>
      </w:r>
      <w:r>
        <w:rPr>
          <w:rFonts w:hint="eastAsia" w:ascii="仿宋_GB2312" w:hAnsi="仿宋" w:eastAsia="仿宋_GB2312"/>
          <w:sz w:val="32"/>
          <w:szCs w:val="32"/>
          <w:lang w:eastAsia="zh-CN"/>
        </w:rPr>
        <w:t>万元</w:t>
      </w:r>
      <w:r>
        <w:rPr>
          <w:rFonts w:hint="eastAsia" w:ascii="仿宋_GB2312" w:hAnsi="仿宋" w:eastAsia="仿宋_GB2312"/>
          <w:sz w:val="32"/>
          <w:szCs w:val="32"/>
        </w:rPr>
        <w:t>（含）以上（不含车辆）设备 52.73万元，占 2.32% ；家具、用具 38.18万元，占 1.68 % 。</w:t>
      </w:r>
      <w:r>
        <w:rPr>
          <w:rFonts w:hint="eastAsia" w:ascii="仿宋_GB2312" w:hAnsi="仿宋" w:eastAsia="仿宋_GB2312"/>
          <w:sz w:val="32"/>
          <w:szCs w:val="32"/>
          <w:lang w:val="en-US" w:eastAsia="zh-CN"/>
        </w:rPr>
        <w:t xml:space="preserve">   </w:t>
      </w:r>
    </w:p>
    <w:p w14:paraId="24D1FF2A">
      <w:p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九、其他重要事项情况说明</w:t>
      </w:r>
    </w:p>
    <w:p w14:paraId="15B690A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63BD8A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3B6D191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495ECC3D">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rPr>
      </w:pPr>
      <w:r>
        <w:rPr>
          <w:rFonts w:hint="eastAsia" w:ascii="仿宋_GB2312" w:hAnsi="仿宋" w:eastAsia="仿宋_GB2312"/>
          <w:sz w:val="32"/>
          <w:szCs w:val="32"/>
          <w:lang w:eastAsia="zh-CN"/>
        </w:rPr>
        <w:t>本单位202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年无非税收入。</w:t>
      </w:r>
    </w:p>
    <w:p w14:paraId="75D4C08F">
      <w:pPr>
        <w:adjustRightInd w:val="0"/>
        <w:snapToGrid w:val="0"/>
        <w:spacing w:line="640" w:lineRule="exact"/>
        <w:ind w:firstLine="643" w:firstLineChars="200"/>
        <w:contextualSpacing/>
        <w:rPr>
          <w:rFonts w:ascii="仿宋_GB2312" w:hAnsi="仿宋" w:eastAsia="仿宋_GB2312"/>
          <w:sz w:val="32"/>
          <w:szCs w:val="32"/>
        </w:rPr>
      </w:pPr>
      <w:r>
        <w:rPr>
          <w:rFonts w:hint="eastAsia" w:ascii="楷体_GB2312" w:hAnsi="楷体" w:eastAsia="楷体_GB2312" w:cs="宋体"/>
          <w:b/>
          <w:bCs/>
          <w:kern w:val="0"/>
          <w:sz w:val="32"/>
          <w:szCs w:val="32"/>
        </w:rPr>
        <w:t>（三）重点项目情况</w:t>
      </w:r>
    </w:p>
    <w:p w14:paraId="14C8241F">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项目名称：2026年公共设施管理费</w:t>
      </w:r>
    </w:p>
    <w:p w14:paraId="00C6CA11">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lang w:eastAsia="zh-CN"/>
        </w:rPr>
        <w:t>1.</w:t>
      </w:r>
      <w:r>
        <w:rPr>
          <w:rFonts w:hint="eastAsia" w:ascii="仿宋_GB2312" w:hAnsi="仿宋" w:eastAsia="仿宋_GB2312"/>
          <w:sz w:val="32"/>
          <w:szCs w:val="32"/>
        </w:rPr>
        <w:t>项目概况：用于应急、救灾、安全监管、乡镇社区、敬老院、公寓楼、路灯、供暖、供水、环卫、绿化、交管等基础公共设施管理的公共设施建设管理及维护正常使用。</w:t>
      </w:r>
    </w:p>
    <w:p w14:paraId="29B0F7F8">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lang w:eastAsia="zh-CN"/>
        </w:rPr>
        <w:t>2.</w:t>
      </w:r>
      <w:r>
        <w:rPr>
          <w:rFonts w:hint="eastAsia" w:ascii="仿宋_GB2312" w:hAnsi="仿宋" w:eastAsia="仿宋_GB2312"/>
          <w:sz w:val="32"/>
          <w:szCs w:val="32"/>
        </w:rPr>
        <w:t>立项依据：肃南裕固族自治县财政局关于印发《肃南县乡镇公共设施管理费使用办法》的通知（肃财发〔2023〕248号）</w:t>
      </w:r>
    </w:p>
    <w:p w14:paraId="04196584">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lang w:eastAsia="zh-CN"/>
        </w:rPr>
        <w:t>3.</w:t>
      </w:r>
      <w:r>
        <w:rPr>
          <w:rFonts w:hint="eastAsia" w:ascii="仿宋_GB2312" w:hAnsi="仿宋" w:eastAsia="仿宋_GB2312"/>
          <w:sz w:val="32"/>
          <w:szCs w:val="32"/>
        </w:rPr>
        <w:t>实施主体：肃南裕固族自治县</w:t>
      </w:r>
      <w:r>
        <w:rPr>
          <w:rFonts w:hint="eastAsia" w:ascii="仿宋_GB2312" w:hAnsi="仿宋" w:eastAsia="仿宋_GB2312"/>
          <w:sz w:val="32"/>
          <w:szCs w:val="32"/>
          <w:lang w:eastAsia="zh-CN"/>
        </w:rPr>
        <w:t>明花镇</w:t>
      </w:r>
      <w:r>
        <w:rPr>
          <w:rFonts w:hint="eastAsia" w:ascii="仿宋_GB2312" w:hAnsi="仿宋" w:eastAsia="仿宋_GB2312"/>
          <w:sz w:val="32"/>
          <w:szCs w:val="32"/>
        </w:rPr>
        <w:t>人民政府</w:t>
      </w:r>
    </w:p>
    <w:p w14:paraId="39663D47">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lang w:eastAsia="zh-CN"/>
        </w:rPr>
        <w:t>4.</w:t>
      </w:r>
      <w:r>
        <w:rPr>
          <w:rFonts w:hint="eastAsia" w:ascii="仿宋_GB2312" w:hAnsi="仿宋" w:eastAsia="仿宋_GB2312"/>
          <w:sz w:val="32"/>
          <w:szCs w:val="32"/>
        </w:rPr>
        <w:t>实施周期：2026年1月－2026年12月</w:t>
      </w:r>
    </w:p>
    <w:p w14:paraId="39AED746">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lang w:eastAsia="zh-CN"/>
        </w:rPr>
        <w:t>5.</w:t>
      </w:r>
      <w:r>
        <w:rPr>
          <w:rFonts w:hint="eastAsia" w:ascii="仿宋_GB2312" w:hAnsi="仿宋" w:eastAsia="仿宋_GB2312"/>
          <w:sz w:val="32"/>
          <w:szCs w:val="32"/>
        </w:rPr>
        <w:t>实施计划：2026年1月至2026年12月完成用于应急、救灾、安全监管、乡镇社区、敬老院、公寓楼、路灯、供暖、供水、环卫、绿化、交管等基础公共设施管理的公共设施建设管理及维护正常使用的各项费用支付。</w:t>
      </w:r>
    </w:p>
    <w:p w14:paraId="5954270B">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lang w:eastAsia="zh-CN"/>
        </w:rPr>
        <w:t>6.</w:t>
      </w:r>
      <w:r>
        <w:rPr>
          <w:rFonts w:hint="eastAsia" w:ascii="仿宋_GB2312" w:hAnsi="仿宋" w:eastAsia="仿宋_GB2312"/>
          <w:sz w:val="32"/>
          <w:szCs w:val="32"/>
        </w:rPr>
        <w:t>年度预算安排：</w:t>
      </w:r>
      <w:r>
        <w:rPr>
          <w:rFonts w:hint="eastAsia" w:ascii="仿宋_GB2312" w:hAnsi="仿宋" w:eastAsia="仿宋_GB2312"/>
          <w:sz w:val="32"/>
          <w:szCs w:val="32"/>
          <w:lang w:val="en-US" w:eastAsia="zh-CN"/>
        </w:rPr>
        <w:t>50</w:t>
      </w:r>
      <w:r>
        <w:rPr>
          <w:rFonts w:hint="eastAsia" w:ascii="仿宋_GB2312" w:hAnsi="仿宋" w:eastAsia="仿宋_GB2312"/>
          <w:sz w:val="32"/>
          <w:szCs w:val="32"/>
        </w:rPr>
        <w:t>万元</w:t>
      </w:r>
    </w:p>
    <w:p w14:paraId="6B3F7D4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7.</w:t>
      </w:r>
      <w:r>
        <w:rPr>
          <w:rFonts w:hint="eastAsia" w:ascii="仿宋_GB2312" w:hAnsi="仿宋" w:eastAsia="仿宋_GB2312"/>
          <w:sz w:val="32"/>
          <w:szCs w:val="32"/>
        </w:rPr>
        <w:t>预期总体目标：完成用于应急、救灾、安全监管、乡镇社区、敬老院、公寓楼、路灯、供暖、供水、环卫、绿化、交管等基础公共设施管理的公共设施建设管理及维护正常使用的各项费用支付，保障环境卫生工作的正常开展，改善居民人居环境，美化市容市貌，提升镇域形象。</w:t>
      </w:r>
    </w:p>
    <w:p w14:paraId="7BE70746">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2680F6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eastAsia="zh-CN"/>
        </w:rPr>
        <w:t>单位</w:t>
      </w:r>
      <w:r>
        <w:rPr>
          <w:rFonts w:hint="eastAsia" w:ascii="仿宋_GB2312" w:hAnsi="仿宋" w:eastAsia="仿宋_GB2312"/>
          <w:sz w:val="32"/>
          <w:szCs w:val="32"/>
        </w:rPr>
        <w:t>管理转移支付表为空表。</w:t>
      </w:r>
    </w:p>
    <w:p w14:paraId="412D579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388160FD">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4FC43EB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29906DC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年预算绩效管理工作情况。</w:t>
      </w:r>
    </w:p>
    <w:p w14:paraId="389237D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w:t>
      </w:r>
      <w:r>
        <w:rPr>
          <w:rFonts w:hint="eastAsia" w:ascii="仿宋_GB2312" w:hAnsi="仿宋" w:eastAsia="仿宋_GB2312"/>
          <w:sz w:val="32"/>
          <w:szCs w:val="32"/>
          <w:lang w:val="en-US" w:eastAsia="zh-CN"/>
        </w:rPr>
        <w:t xml:space="preserve"> </w:t>
      </w:r>
      <w:bookmarkStart w:id="0" w:name="_GoBack"/>
      <w:bookmarkEnd w:id="0"/>
      <w:r>
        <w:rPr>
          <w:rFonts w:hint="eastAsia" w:ascii="仿宋_GB2312" w:hAnsi="仿宋" w:eastAsia="仿宋_GB2312"/>
          <w:sz w:val="32"/>
          <w:szCs w:val="32"/>
        </w:rPr>
        <w:t>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40BD059A">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1D3F170E">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个，占本</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个，占本</w:t>
      </w:r>
      <w:r>
        <w:rPr>
          <w:rFonts w:hint="eastAsia" w:ascii="仿宋_GB2312" w:hAnsi="仿宋" w:eastAsia="仿宋_GB2312"/>
          <w:sz w:val="32"/>
          <w:szCs w:val="32"/>
          <w:lang w:eastAsia="zh-CN"/>
        </w:rPr>
        <w:t>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58EAB912">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个，其中，</w:t>
      </w:r>
      <w:r>
        <w:rPr>
          <w:rFonts w:hint="eastAsia" w:ascii="仿宋_GB2312" w:hAnsi="仿宋" w:eastAsia="仿宋_GB2312"/>
          <w:sz w:val="32"/>
          <w:szCs w:val="32"/>
          <w:lang w:eastAsia="zh-CN"/>
        </w:rPr>
        <w:t>单位</w:t>
      </w:r>
      <w:r>
        <w:rPr>
          <w:rFonts w:hint="eastAsia" w:ascii="仿宋_GB2312" w:hAnsi="仿宋" w:eastAsia="仿宋_GB2312"/>
          <w:sz w:val="32"/>
          <w:szCs w:val="32"/>
        </w:rPr>
        <w:t>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00279DD0">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年度减少部门预算项目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个，压减率</w:t>
      </w:r>
      <w:r>
        <w:rPr>
          <w:rFonts w:hint="eastAsia" w:ascii="仿宋_GB2312" w:hAnsi="仿宋" w:eastAsia="仿宋_GB2312"/>
          <w:sz w:val="32"/>
          <w:szCs w:val="32"/>
          <w:lang w:val="en-US" w:eastAsia="zh-CN"/>
        </w:rPr>
        <w:t>21</w:t>
      </w:r>
      <w:r>
        <w:rPr>
          <w:rFonts w:hint="eastAsia" w:ascii="仿宋_GB2312" w:hAnsi="仿宋" w:eastAsia="仿宋_GB2312"/>
          <w:sz w:val="32"/>
          <w:szCs w:val="32"/>
        </w:rPr>
        <w:t>%。同时对政策和项目资金管理作出调整的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616369A3">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w:t>
      </w:r>
      <w:r>
        <w:rPr>
          <w:rFonts w:hint="eastAsia" w:ascii="楷体_GB2312" w:hAnsi="楷体" w:eastAsia="楷体_GB2312" w:cs="宋体"/>
          <w:b/>
          <w:bCs/>
          <w:kern w:val="0"/>
          <w:sz w:val="32"/>
          <w:szCs w:val="32"/>
          <w:lang w:val="en-US" w:eastAsia="zh-CN"/>
        </w:rPr>
        <w:t>6</w:t>
      </w:r>
      <w:r>
        <w:rPr>
          <w:rFonts w:hint="eastAsia" w:ascii="楷体_GB2312" w:hAnsi="楷体" w:eastAsia="楷体_GB2312" w:cs="宋体"/>
          <w:b/>
          <w:bCs/>
          <w:kern w:val="0"/>
          <w:sz w:val="32"/>
          <w:szCs w:val="32"/>
        </w:rPr>
        <w:t>年绩效目标编制情况</w:t>
      </w:r>
    </w:p>
    <w:p w14:paraId="5DC5AF9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预算绩效目标管理的项目</w:t>
      </w:r>
      <w:r>
        <w:rPr>
          <w:rFonts w:hint="eastAsia" w:ascii="仿宋_GB2312" w:hAnsi="仿宋" w:eastAsia="仿宋_GB2312"/>
          <w:sz w:val="32"/>
          <w:szCs w:val="32"/>
          <w:lang w:val="en-US" w:eastAsia="zh-CN"/>
        </w:rPr>
        <w:t>14</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18</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36</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6</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个。各项绩效目标内容指向明确、细化量化、合理可行，符合规定的格式要求。</w:t>
      </w:r>
    </w:p>
    <w:p w14:paraId="2C7CDF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39B391C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1.</w:t>
      </w:r>
      <w:r>
        <w:rPr>
          <w:rFonts w:hint="eastAsia" w:ascii="仿宋_GB2312" w:hAnsi="CIDFont+F4" w:eastAsia="仿宋_GB2312"/>
          <w:b/>
          <w:color w:val="000000"/>
          <w:sz w:val="32"/>
          <w:szCs w:val="32"/>
        </w:rPr>
        <w:t>财政拨款</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指由一般公共预算、政府性基金预算、国有资本经营预算安排的财政拨款数。</w:t>
      </w:r>
    </w:p>
    <w:p w14:paraId="56267B7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2.</w:t>
      </w:r>
      <w:r>
        <w:rPr>
          <w:rFonts w:hint="eastAsia" w:ascii="仿宋_GB2312" w:hAnsi="CIDFont+F4" w:eastAsia="仿宋_GB2312"/>
          <w:b/>
          <w:color w:val="000000"/>
          <w:sz w:val="32"/>
          <w:szCs w:val="32"/>
        </w:rPr>
        <w:t>一般公共预算</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包括公共财政拨款（补助）资金、专项收入。</w:t>
      </w:r>
    </w:p>
    <w:p w14:paraId="3E84AD86">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3.</w:t>
      </w:r>
      <w:r>
        <w:rPr>
          <w:rFonts w:hint="eastAsia" w:ascii="仿宋_GB2312" w:hAnsi="CIDFont+F4" w:eastAsia="仿宋_GB2312"/>
          <w:b/>
          <w:color w:val="000000"/>
          <w:sz w:val="32"/>
          <w:szCs w:val="32"/>
        </w:rPr>
        <w:t>财政专户管理资金</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包括专户管理行政事业性收费（主要是教育收费）、其他非税收入。</w:t>
      </w:r>
    </w:p>
    <w:p w14:paraId="7E7D03E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4.</w:t>
      </w:r>
      <w:r>
        <w:rPr>
          <w:rFonts w:hint="eastAsia" w:ascii="仿宋_GB2312" w:hAnsi="CIDFont+F4" w:eastAsia="仿宋_GB2312"/>
          <w:b/>
          <w:color w:val="000000"/>
          <w:sz w:val="32"/>
          <w:szCs w:val="32"/>
        </w:rPr>
        <w:t>其他资金</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包括事业收入、事业经营收入、其他收入等。</w:t>
      </w:r>
    </w:p>
    <w:p w14:paraId="55FE6EC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5.</w:t>
      </w:r>
      <w:r>
        <w:rPr>
          <w:rFonts w:hint="eastAsia" w:ascii="仿宋_GB2312" w:hAnsi="CIDFont+F4" w:eastAsia="仿宋_GB2312"/>
          <w:b/>
          <w:color w:val="000000"/>
          <w:sz w:val="32"/>
          <w:szCs w:val="32"/>
        </w:rPr>
        <w:t>基本支出</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包括人员经费、公用经费（定额）。其中，人员经费包括工资福利支出、对个人和家庭的补助。</w:t>
      </w:r>
    </w:p>
    <w:p w14:paraId="4366CDE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6.</w:t>
      </w:r>
      <w:r>
        <w:rPr>
          <w:rFonts w:hint="eastAsia" w:ascii="仿宋_GB2312" w:hAnsi="CIDFont+F4" w:eastAsia="仿宋_GB2312"/>
          <w:b/>
          <w:color w:val="000000"/>
          <w:sz w:val="32"/>
          <w:szCs w:val="32"/>
        </w:rPr>
        <w:t>项目支出</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lang w:eastAsia="zh-CN"/>
        </w:rPr>
        <w:t>单位</w:t>
      </w:r>
      <w:r>
        <w:rPr>
          <w:rFonts w:hint="eastAsia" w:ascii="仿宋_GB2312" w:hAnsi="CIDFont+F6" w:eastAsia="仿宋_GB2312"/>
          <w:color w:val="000000"/>
          <w:sz w:val="32"/>
          <w:szCs w:val="32"/>
        </w:rPr>
        <w:t>支出预算的组成部分，是各</w:t>
      </w:r>
      <w:r>
        <w:rPr>
          <w:rFonts w:hint="eastAsia" w:ascii="仿宋_GB2312" w:hAnsi="CIDFont+F6" w:eastAsia="仿宋_GB2312"/>
          <w:color w:val="000000"/>
          <w:sz w:val="32"/>
          <w:szCs w:val="32"/>
          <w:lang w:eastAsia="zh-CN"/>
        </w:rPr>
        <w:t>单位</w:t>
      </w:r>
      <w:r>
        <w:rPr>
          <w:rFonts w:hint="eastAsia" w:ascii="仿宋_GB2312" w:hAnsi="CIDFont+F6" w:eastAsia="仿宋_GB2312"/>
          <w:color w:val="000000"/>
          <w:sz w:val="32"/>
          <w:szCs w:val="32"/>
        </w:rPr>
        <w:t>为完成其特定的行政任务或事业发展目标，在基本支出预算之外编制的年度项目支出计划。</w:t>
      </w:r>
    </w:p>
    <w:p w14:paraId="6D4E4EF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7.</w:t>
      </w:r>
      <w:r>
        <w:rPr>
          <w:rFonts w:hint="eastAsia" w:ascii="仿宋_GB2312" w:hAnsi="CIDFont+F4" w:eastAsia="仿宋_GB2312"/>
          <w:b/>
          <w:color w:val="000000"/>
          <w:sz w:val="32"/>
          <w:szCs w:val="32"/>
        </w:rPr>
        <w:t>“三公”经费</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7394FB8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lang w:eastAsia="zh-CN"/>
        </w:rPr>
        <w:t>8.</w:t>
      </w:r>
      <w:r>
        <w:rPr>
          <w:rFonts w:hint="eastAsia" w:ascii="仿宋_GB2312" w:hAnsi="CIDFont+F4" w:eastAsia="仿宋_GB2312"/>
          <w:b/>
          <w:color w:val="000000"/>
          <w:sz w:val="32"/>
          <w:szCs w:val="32"/>
        </w:rPr>
        <w:t>机关运行经费</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07E69C1">
      <w:pPr>
        <w:adjustRightInd w:val="0"/>
        <w:snapToGrid w:val="0"/>
        <w:spacing w:line="640" w:lineRule="exact"/>
        <w:ind w:right="1120"/>
        <w:contextualSpacing/>
        <w:jc w:val="both"/>
        <w:rPr>
          <w:rFonts w:hint="eastAsia" w:ascii="仿宋_GB2312" w:hAnsi="CIDFont+F6" w:eastAsia="仿宋_GB2312"/>
          <w:color w:val="000000"/>
          <w:sz w:val="32"/>
          <w:szCs w:val="32"/>
          <w:lang w:val="en-US" w:eastAsia="zh-CN"/>
        </w:rPr>
      </w:pPr>
    </w:p>
    <w:p w14:paraId="10FD611D">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 xml:space="preserve">  肃南裕固族自治县明花镇人民政府</w:t>
      </w:r>
    </w:p>
    <w:p w14:paraId="44A8A7A8">
      <w:pPr>
        <w:adjustRightInd w:val="0"/>
        <w:snapToGrid w:val="0"/>
        <w:spacing w:line="640" w:lineRule="exact"/>
        <w:ind w:right="1120"/>
        <w:contextualSpacing/>
        <w:jc w:val="center"/>
        <w:rPr>
          <w:rFonts w:ascii="仿宋_GB2312" w:eastAsia="仿宋_GB2312"/>
          <w:sz w:val="32"/>
          <w:szCs w:val="32"/>
        </w:rPr>
      </w:pPr>
      <w:r>
        <w:rPr>
          <w:rFonts w:hint="eastAsia" w:ascii="仿宋_GB2312" w:hAnsi="CIDFont+F6" w:eastAsia="仿宋_GB2312"/>
          <w:color w:val="000000"/>
          <w:sz w:val="32"/>
          <w:szCs w:val="32"/>
          <w:lang w:val="en-US" w:eastAsia="zh-CN"/>
        </w:rPr>
        <w:t xml:space="preserve">                                      2026</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28</w:t>
      </w:r>
      <w:r>
        <w:rPr>
          <w:rFonts w:hint="eastAsia" w:ascii="仿宋_GB2312" w:hAnsi="CIDFont+F6" w:eastAsia="仿宋_GB2312"/>
          <w:color w:val="000000"/>
          <w:sz w:val="32"/>
          <w:szCs w:val="32"/>
        </w:rPr>
        <w:t>日</w:t>
      </w:r>
    </w:p>
    <w:p w14:paraId="4DA553B0">
      <w:pPr>
        <w:adjustRightInd w:val="0"/>
        <w:snapToGrid w:val="0"/>
        <w:spacing w:line="640" w:lineRule="exact"/>
        <w:ind w:firstLine="640" w:firstLineChars="200"/>
        <w:contextualSpacing/>
        <w:rPr>
          <w:rFonts w:ascii="仿宋_GB2312" w:hAnsi="宋体" w:eastAsia="仿宋_GB2312" w:cs="宋体"/>
          <w:kern w:val="0"/>
          <w:sz w:val="32"/>
          <w:szCs w:val="32"/>
        </w:rPr>
      </w:pPr>
    </w:p>
    <w:p w14:paraId="5D43B3AD">
      <w:pPr>
        <w:adjustRightInd w:val="0"/>
        <w:snapToGrid w:val="0"/>
        <w:spacing w:line="640" w:lineRule="exact"/>
        <w:ind w:left="1893" w:leftChars="767" w:hanging="282" w:hangingChars="157"/>
        <w:contextualSpacing/>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14:paraId="455A3609">
      <w:pPr>
        <w:tabs>
          <w:tab w:val="left" w:pos="1848"/>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870A">
    <w:pPr>
      <w:pStyle w:val="5"/>
      <w:jc w:val="center"/>
    </w:pPr>
  </w:p>
  <w:p w14:paraId="3107237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5219">
    <w:pPr>
      <w:pStyle w:val="5"/>
      <w:jc w:val="center"/>
    </w:pPr>
    <w:r>
      <w:fldChar w:fldCharType="begin"/>
    </w:r>
    <w:r>
      <w:instrText xml:space="preserve">PAGE   \* MERGEFORMAT</w:instrText>
    </w:r>
    <w:r>
      <w:fldChar w:fldCharType="separate"/>
    </w:r>
    <w:r>
      <w:rPr>
        <w:lang w:val="zh-CN"/>
      </w:rPr>
      <w:t>27</w:t>
    </w:r>
    <w:r>
      <w:fldChar w:fldCharType="end"/>
    </w:r>
  </w:p>
  <w:p w14:paraId="03B625F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YwMzE1M2I4YzEyY2EyNzE4NjhiMTI0MDIzYzE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1062DC0"/>
    <w:rsid w:val="01C15C7D"/>
    <w:rsid w:val="02300221"/>
    <w:rsid w:val="08BC0A60"/>
    <w:rsid w:val="09937AD7"/>
    <w:rsid w:val="09DC1077"/>
    <w:rsid w:val="0A026946"/>
    <w:rsid w:val="0D5C45C0"/>
    <w:rsid w:val="0EE3661B"/>
    <w:rsid w:val="0F661726"/>
    <w:rsid w:val="113741D2"/>
    <w:rsid w:val="137D5290"/>
    <w:rsid w:val="13E946E5"/>
    <w:rsid w:val="148166BA"/>
    <w:rsid w:val="14AF1479"/>
    <w:rsid w:val="150115A9"/>
    <w:rsid w:val="15955DA9"/>
    <w:rsid w:val="15973CBB"/>
    <w:rsid w:val="15E05662"/>
    <w:rsid w:val="182F01CE"/>
    <w:rsid w:val="1A4C59BC"/>
    <w:rsid w:val="1AE654C9"/>
    <w:rsid w:val="1D34261E"/>
    <w:rsid w:val="1D5F1562"/>
    <w:rsid w:val="1F3F33F9"/>
    <w:rsid w:val="21022930"/>
    <w:rsid w:val="2442638D"/>
    <w:rsid w:val="2471674B"/>
    <w:rsid w:val="25B12975"/>
    <w:rsid w:val="28872576"/>
    <w:rsid w:val="2A30050E"/>
    <w:rsid w:val="2F0401BB"/>
    <w:rsid w:val="30D27C36"/>
    <w:rsid w:val="322F5B81"/>
    <w:rsid w:val="32CE4D68"/>
    <w:rsid w:val="34AA67C2"/>
    <w:rsid w:val="376D0FF4"/>
    <w:rsid w:val="382D42DF"/>
    <w:rsid w:val="386D6DD1"/>
    <w:rsid w:val="396E3B5B"/>
    <w:rsid w:val="3B8E32E7"/>
    <w:rsid w:val="3D271C45"/>
    <w:rsid w:val="424C5F62"/>
    <w:rsid w:val="4674757D"/>
    <w:rsid w:val="49C56A6D"/>
    <w:rsid w:val="4CDB0356"/>
    <w:rsid w:val="4DC64B62"/>
    <w:rsid w:val="4DF06083"/>
    <w:rsid w:val="527E074E"/>
    <w:rsid w:val="579503FF"/>
    <w:rsid w:val="598F04FE"/>
    <w:rsid w:val="5DCA244C"/>
    <w:rsid w:val="5E341674"/>
    <w:rsid w:val="5ED2780B"/>
    <w:rsid w:val="5EEE5CC7"/>
    <w:rsid w:val="5FAB1E0A"/>
    <w:rsid w:val="5FF34435"/>
    <w:rsid w:val="60535296"/>
    <w:rsid w:val="60CF38D6"/>
    <w:rsid w:val="623B7475"/>
    <w:rsid w:val="631750F1"/>
    <w:rsid w:val="64F14763"/>
    <w:rsid w:val="65757142"/>
    <w:rsid w:val="66066CD1"/>
    <w:rsid w:val="6D372F2F"/>
    <w:rsid w:val="6DA85BDA"/>
    <w:rsid w:val="72FD2525"/>
    <w:rsid w:val="75842A89"/>
    <w:rsid w:val="76C577FD"/>
    <w:rsid w:val="7A2D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autoRedefine/>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autoRedefine/>
    <w:qFormat/>
    <w:uiPriority w:val="0"/>
    <w:pPr>
      <w:ind w:firstLine="420" w:firstLineChars="200"/>
    </w:pPr>
  </w:style>
  <w:style w:type="character" w:customStyle="1" w:styleId="15">
    <w:name w:val="批注框文本 Char"/>
    <w:link w:val="4"/>
    <w:autoRedefine/>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autoRedefine/>
    <w:qFormat/>
    <w:uiPriority w:val="0"/>
    <w:rPr>
      <w:kern w:val="2"/>
      <w:sz w:val="21"/>
      <w:szCs w:val="22"/>
    </w:rPr>
  </w:style>
  <w:style w:type="character" w:customStyle="1" w:styleId="19">
    <w:name w:val="批注主题 Char"/>
    <w:link w:val="7"/>
    <w:autoRedefine/>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f240ed1d-5f97-4665-895f-f24b637172ef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40D98744</paraID>
      <start>115</start>
      <end>116</end>
      <status>unmodified</status>
      <modifiedWord/>
      <trackRevisions>false</trackRevisions>
    </reviewItem>
  </reviewItems>
  <config/>
</contractReview>
</file>

<file path=customXml/itemProps1.xml><?xml version="1.0" encoding="utf-8"?>
<ds:datastoreItem xmlns:ds="http://schemas.openxmlformats.org/officeDocument/2006/customXml" ds:itemID="{c07d20cb-e884-44da-8928-721907578843}">
  <ds:schemaRefs/>
</ds:datastoreItem>
</file>

<file path=docProps/app.xml><?xml version="1.0" encoding="utf-8"?>
<Properties xmlns="http://schemas.openxmlformats.org/officeDocument/2006/extended-properties" xmlns:vt="http://schemas.openxmlformats.org/officeDocument/2006/docPropsVTypes">
  <Template>Normal</Template>
  <Company>beijing</Company>
  <Pages>16</Pages>
  <Words>4820</Words>
  <Characters>5280</Characters>
  <Lines>68</Lines>
  <Paragraphs>19</Paragraphs>
  <TotalTime>16</TotalTime>
  <ScaleCrop>false</ScaleCrop>
  <LinksUpToDate>false</LinksUpToDate>
  <CharactersWithSpaces>5363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The One</cp:lastModifiedBy>
  <cp:lastPrinted>2022-02-15T07:45:00Z</cp:lastPrinted>
  <dcterms:modified xsi:type="dcterms:W3CDTF">2026-03-02T12:40:59Z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E9C344A0E87B4EE4841C3E31D0FE9BD0_13</vt:lpwstr>
  </property>
  <property fmtid="{D5CDD505-2E9C-101B-9397-08002B2CF9AE}" pid="4" name="KSOTemplateDocerSaveRecord">
    <vt:lpwstr>eyJoZGlkIjoiNmVkODdlNDRiYjhhYmQxMmU3NWE1MzFiYzM0OTAxOTkiLCJ1c2VySWQiOiI0MzkyODU1MzUifQ==</vt:lpwstr>
  </property>
</Properties>
</file>