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63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转移支付安排情况说明</w:t>
      </w:r>
    </w:p>
    <w:p w14:paraId="6323A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6D535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</w:rPr>
        <w:t>建议县级一般公共预算收入同口径增长6%，达到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</w:rPr>
        <w:t>38520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</w:rPr>
        <w:t>。加上级财力性等各类转移支付补助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118723</w:t>
      </w:r>
      <w:r>
        <w:rPr>
          <w:rFonts w:hint="eastAsia" w:ascii="仿宋_GB2312" w:eastAsia="仿宋_GB2312"/>
          <w:sz w:val="32"/>
          <w:szCs w:val="32"/>
        </w:rPr>
        <w:t>万元（含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上级返还性收入1207万元，均衡性转移支付收入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19227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万元，县级基本财力保障机制奖补资金收入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8080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万元，结算补助收入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429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万元，企事业单位划转补助收入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587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万元，重点生态功能区转移支付收入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15192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万元，固定数额补助收入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12595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万元，民族地区转移支付收入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18445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万元，贫困地区转移支付收入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2261万元，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教育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共同财政事权转移支付收入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665万元，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文化旅游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体育和传媒共同财政事权转移支付收入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788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万元，社会保障和就业共同财政事权转移支付收入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3966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卫生健康共同事权转移支付收入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418万元，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节能环保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共同财政事权转移支付收入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万元，农林水共同财政事权转移支付收入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34206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，社会保障和就业专项转移支付收入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农林水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专项转移支付收入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509万元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根据财政部提高预算编制完整性，加快支出进度的要求，并要求全额编入预算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ascii="仿宋_GB2312" w:eastAsia="仿宋_GB2312"/>
          <w:color w:val="000000"/>
          <w:sz w:val="32"/>
          <w:szCs w:val="32"/>
        </w:rPr>
        <w:t>上年结转资金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35451</w:t>
      </w:r>
      <w:r>
        <w:rPr>
          <w:rFonts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，动用预算稳定调节基金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4451万元，</w:t>
      </w:r>
      <w:r>
        <w:rPr>
          <w:rFonts w:ascii="仿宋_GB2312" w:eastAsia="仿宋_GB2312"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根据《国务院关于进一步深化预算管理制度改革的意见》国发〔2021〕5号关于“规范按权责发生制列支事项，市县级财政国库集中支付结余不再按权责发生制列支”的规定，国库集中支付按照预算单位实际支付额列报支出</w:t>
      </w:r>
      <w:r>
        <w:rPr>
          <w:rFonts w:ascii="仿宋_GB2312" w:eastAsia="仿宋_GB2312"/>
          <w:color w:val="000000"/>
          <w:sz w:val="32"/>
          <w:szCs w:val="32"/>
        </w:rPr>
        <w:t>，未支付</w:t>
      </w:r>
      <w:bookmarkStart w:id="0" w:name="_GoBack"/>
      <w:bookmarkEnd w:id="0"/>
      <w:r>
        <w:rPr>
          <w:rFonts w:ascii="仿宋_GB2312" w:eastAsia="仿宋_GB2312"/>
          <w:color w:val="000000"/>
          <w:sz w:val="32"/>
          <w:szCs w:val="32"/>
        </w:rPr>
        <w:t>项目资金列入上年结转），一般公共预算总收入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197145</w:t>
      </w:r>
      <w:r>
        <w:rPr>
          <w:rFonts w:hint="eastAsia" w:ascii="仿宋_GB2312" w:eastAsia="仿宋_GB2312"/>
          <w:color w:val="000000"/>
          <w:sz w:val="32"/>
          <w:szCs w:val="32"/>
        </w:rPr>
        <w:t>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kNGYwMzE1M2I4YzEyY2EyNzE4NjhiMTI0MDIzYzEifQ=="/>
  </w:docVars>
  <w:rsids>
    <w:rsidRoot w:val="00FB5C16"/>
    <w:rsid w:val="00284C4E"/>
    <w:rsid w:val="0030793F"/>
    <w:rsid w:val="007261EA"/>
    <w:rsid w:val="00787129"/>
    <w:rsid w:val="008A406A"/>
    <w:rsid w:val="00A662AF"/>
    <w:rsid w:val="00C575BB"/>
    <w:rsid w:val="00FB5C16"/>
    <w:rsid w:val="05237F4B"/>
    <w:rsid w:val="10FB7CA0"/>
    <w:rsid w:val="2E6C4CB2"/>
    <w:rsid w:val="48A67ADF"/>
    <w:rsid w:val="517B6EDF"/>
    <w:rsid w:val="7F23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524</Words>
  <Characters>591</Characters>
  <Lines>4</Lines>
  <Paragraphs>1</Paragraphs>
  <TotalTime>116</TotalTime>
  <ScaleCrop>false</ScaleCrop>
  <LinksUpToDate>false</LinksUpToDate>
  <CharactersWithSpaces>591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2021-05-24T02:04:00Z</dcterms:created>
  <dc:creator>admin</dc:creator>
  <cp:lastModifiedBy>Administrator</cp:lastModifiedBy>
  <cp:lastPrinted>2022-03-24T00:59:00Z</cp:lastPrinted>
  <dcterms:modified xsi:type="dcterms:W3CDTF">2026-02-06T03:03:02Z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8099A9A5382D48848C74C9689808681B</vt:lpwstr>
  </property>
  <property fmtid="{D5CDD505-2E9C-101B-9397-08002B2CF9AE}" pid="4" name="KSOTemplateDocerSaveRecord">
    <vt:lpwstr>eyJoZGlkIjoiNmJkNGYwMzE1M2I4YzEyY2EyNzE4NjhiMTI0MDIzYzEifQ==</vt:lpwstr>
  </property>
</Properties>
</file>