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32965">
      <w:pPr>
        <w:snapToGrid w:val="0"/>
        <w:spacing w:line="560" w:lineRule="exact"/>
        <w:textAlignment w:val="baseline"/>
        <w:rPr>
          <w:rFonts w:ascii="华文中宋" w:hAnsi="华文中宋" w:eastAsia="华文中宋"/>
          <w:b/>
          <w:kern w:val="0"/>
          <w:sz w:val="44"/>
          <w:szCs w:val="44"/>
          <w:u w:color="000000"/>
        </w:rPr>
      </w:pPr>
      <w:r>
        <w:rPr>
          <w:rFonts w:eastAsia="方正小标宋简体" w:cs="方正小标宋简体"/>
          <w:sz w:val="44"/>
          <w:szCs w:val="4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89535</wp:posOffset>
                </wp:positionV>
                <wp:extent cx="2956560" cy="587375"/>
                <wp:effectExtent l="5080" t="4445" r="10160" b="17780"/>
                <wp:wrapNone/>
                <wp:docPr id="1" name="文本框 1"/>
                <wp:cNvGraphicFramePr/>
                <a:graphic xmlns:a="http://schemas.openxmlformats.org/drawingml/2006/main">
                  <a:graphicData uri="http://schemas.microsoft.com/office/word/2010/wordprocessingShape">
                    <wps:wsp>
                      <wps:cNvSpPr txBox="1"/>
                      <wps:spPr>
                        <a:xfrm>
                          <a:off x="0" y="0"/>
                          <a:ext cx="2956560" cy="5873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A9C87A">
                            <w:pPr>
                              <w:spacing w:line="400" w:lineRule="exact"/>
                              <w:jc w:val="distribute"/>
                              <w:rPr>
                                <w:rFonts w:ascii="宋体" w:hAnsi="宋体"/>
                                <w:sz w:val="24"/>
                              </w:rPr>
                            </w:pPr>
                            <w:r>
                              <w:rPr>
                                <w:rFonts w:hint="eastAsia" w:ascii="宋体" w:hAnsi="宋体"/>
                                <w:sz w:val="24"/>
                              </w:rPr>
                              <w:t>肃南裕固族自治县第十九届人民代表大会</w:t>
                            </w:r>
                          </w:p>
                          <w:p w14:paraId="3B7CFC49">
                            <w:pPr>
                              <w:spacing w:line="400" w:lineRule="exact"/>
                              <w:jc w:val="distribute"/>
                              <w:rPr>
                                <w:rFonts w:hint="eastAsia" w:ascii="宋体" w:hAnsi="宋体" w:eastAsia="宋体"/>
                                <w:spacing w:val="38"/>
                                <w:sz w:val="24"/>
                                <w:lang w:eastAsia="zh-CN"/>
                              </w:rPr>
                            </w:pPr>
                            <w:r>
                              <w:rPr>
                                <w:rFonts w:hint="eastAsia" w:ascii="宋体" w:hAnsi="宋体"/>
                                <w:spacing w:val="38"/>
                                <w:sz w:val="24"/>
                              </w:rPr>
                              <w:t>第</w:t>
                            </w:r>
                            <w:r>
                              <w:rPr>
                                <w:rFonts w:hint="eastAsia" w:ascii="宋体" w:hAnsi="宋体"/>
                                <w:spacing w:val="38"/>
                                <w:sz w:val="24"/>
                                <w:lang w:eastAsia="zh-CN"/>
                              </w:rPr>
                              <w:t>五</w:t>
                            </w:r>
                            <w:r>
                              <w:rPr>
                                <w:rFonts w:hint="eastAsia" w:ascii="宋体" w:hAnsi="宋体"/>
                                <w:spacing w:val="38"/>
                                <w:sz w:val="24"/>
                              </w:rPr>
                              <w:t>次会议材料之</w:t>
                            </w:r>
                            <w:r>
                              <w:rPr>
                                <w:rFonts w:hint="eastAsia" w:ascii="宋体" w:hAnsi="宋体"/>
                                <w:spacing w:val="38"/>
                                <w:sz w:val="24"/>
                                <w:lang w:eastAsia="zh-CN"/>
                              </w:rPr>
                              <w:t>八</w:t>
                            </w:r>
                          </w:p>
                        </w:txbxContent>
                      </wps:txbx>
                      <wps:bodyPr upright="1"/>
                    </wps:wsp>
                  </a:graphicData>
                </a:graphic>
              </wp:anchor>
            </w:drawing>
          </mc:Choice>
          <mc:Fallback>
            <w:pict>
              <v:shape id="_x0000_s1026" o:spid="_x0000_s1026" o:spt="202" type="#_x0000_t202" style="position:absolute;left:0pt;margin-left:-3.1pt;margin-top:7.05pt;height:46.25pt;width:232.8pt;z-index:251659264;mso-width-relative:page;mso-height-relative:page;" fillcolor="#FFFFFF" filled="t" stroked="t" coordsize="21600,21600" o:gfxdata="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5pm3dgAAAAJAQAADwAAAAAAAAABACAAAAAi&#10;AAAAZHJzL2Rvd25yZXYueG1sUEsBAhQAFAAAAAgAh07iQGUIl/sKAgAANgQAAA4AAAAAAAAAAQAg&#10;AAAAJwEAAGRycy9lMm9Eb2MueG1sUEsFBgAAAAAGAAYAWQEAAKMFAAAAAA==&#10;">
                <v:fill on="t" focussize="0,0"/>
                <v:stroke color="#000000" joinstyle="miter"/>
                <v:imagedata o:title=""/>
                <o:lock v:ext="edit" aspectratio="f"/>
                <v:textbox>
                  <w:txbxContent>
                    <w:p w14:paraId="7BA9C87A">
                      <w:pPr>
                        <w:spacing w:line="400" w:lineRule="exact"/>
                        <w:jc w:val="distribute"/>
                        <w:rPr>
                          <w:rFonts w:ascii="宋体" w:hAnsi="宋体"/>
                          <w:sz w:val="24"/>
                        </w:rPr>
                      </w:pPr>
                      <w:r>
                        <w:rPr>
                          <w:rFonts w:hint="eastAsia" w:ascii="宋体" w:hAnsi="宋体"/>
                          <w:sz w:val="24"/>
                        </w:rPr>
                        <w:t>肃南裕固族自治县第十九届人民代表大会</w:t>
                      </w:r>
                    </w:p>
                    <w:p w14:paraId="3B7CFC49">
                      <w:pPr>
                        <w:spacing w:line="400" w:lineRule="exact"/>
                        <w:jc w:val="distribute"/>
                        <w:rPr>
                          <w:rFonts w:hint="eastAsia" w:ascii="宋体" w:hAnsi="宋体" w:eastAsia="宋体"/>
                          <w:spacing w:val="38"/>
                          <w:sz w:val="24"/>
                          <w:lang w:eastAsia="zh-CN"/>
                        </w:rPr>
                      </w:pPr>
                      <w:r>
                        <w:rPr>
                          <w:rFonts w:hint="eastAsia" w:ascii="宋体" w:hAnsi="宋体"/>
                          <w:spacing w:val="38"/>
                          <w:sz w:val="24"/>
                        </w:rPr>
                        <w:t>第</w:t>
                      </w:r>
                      <w:r>
                        <w:rPr>
                          <w:rFonts w:hint="eastAsia" w:ascii="宋体" w:hAnsi="宋体"/>
                          <w:spacing w:val="38"/>
                          <w:sz w:val="24"/>
                          <w:lang w:eastAsia="zh-CN"/>
                        </w:rPr>
                        <w:t>五</w:t>
                      </w:r>
                      <w:r>
                        <w:rPr>
                          <w:rFonts w:hint="eastAsia" w:ascii="宋体" w:hAnsi="宋体"/>
                          <w:spacing w:val="38"/>
                          <w:sz w:val="24"/>
                        </w:rPr>
                        <w:t>次会议材料之</w:t>
                      </w:r>
                      <w:r>
                        <w:rPr>
                          <w:rFonts w:hint="eastAsia" w:ascii="宋体" w:hAnsi="宋体"/>
                          <w:spacing w:val="38"/>
                          <w:sz w:val="24"/>
                          <w:lang w:eastAsia="zh-CN"/>
                        </w:rPr>
                        <w:t>八</w:t>
                      </w:r>
                    </w:p>
                  </w:txbxContent>
                </v:textbox>
              </v:shape>
            </w:pict>
          </mc:Fallback>
        </mc:AlternateContent>
      </w:r>
    </w:p>
    <w:p w14:paraId="2B680190">
      <w:pPr>
        <w:snapToGrid w:val="0"/>
        <w:spacing w:line="560" w:lineRule="exact"/>
        <w:textAlignment w:val="baseline"/>
        <w:rPr>
          <w:rFonts w:ascii="华文中宋" w:hAnsi="华文中宋" w:eastAsia="华文中宋"/>
          <w:b/>
          <w:kern w:val="0"/>
          <w:sz w:val="44"/>
          <w:szCs w:val="44"/>
          <w:u w:color="000000"/>
        </w:rPr>
      </w:pPr>
    </w:p>
    <w:p w14:paraId="5010C8D4">
      <w:pPr>
        <w:snapToGrid w:val="0"/>
        <w:spacing w:line="560" w:lineRule="exact"/>
        <w:textAlignment w:val="baseline"/>
        <w:rPr>
          <w:rFonts w:ascii="华文中宋" w:hAnsi="华文中宋" w:eastAsia="华文中宋"/>
          <w:b/>
          <w:kern w:val="0"/>
          <w:sz w:val="44"/>
          <w:szCs w:val="44"/>
          <w:u w:color="000000"/>
        </w:rPr>
      </w:pPr>
    </w:p>
    <w:p w14:paraId="2EF54CDA">
      <w:pPr>
        <w:snapToGrid w:val="0"/>
        <w:spacing w:line="560" w:lineRule="exact"/>
        <w:jc w:val="center"/>
        <w:textAlignment w:val="baseline"/>
        <w:rPr>
          <w:rFonts w:ascii="华文中宋" w:hAnsi="华文中宋" w:eastAsia="华文中宋"/>
          <w:b/>
          <w:kern w:val="0"/>
          <w:sz w:val="44"/>
          <w:szCs w:val="44"/>
          <w:u w:color="000000"/>
        </w:rPr>
      </w:pPr>
    </w:p>
    <w:p w14:paraId="139206E3">
      <w:pPr>
        <w:snapToGrid w:val="0"/>
        <w:spacing w:line="900" w:lineRule="exact"/>
        <w:jc w:val="center"/>
        <w:textAlignment w:val="baseline"/>
        <w:rPr>
          <w:rFonts w:ascii="华文中宋" w:hAnsi="华文中宋" w:eastAsia="华文中宋"/>
          <w:b/>
          <w:kern w:val="0"/>
          <w:sz w:val="44"/>
          <w:szCs w:val="44"/>
          <w:u w:color="000000"/>
        </w:rPr>
      </w:pPr>
    </w:p>
    <w:p w14:paraId="641EF513">
      <w:pPr>
        <w:spacing w:line="900" w:lineRule="exact"/>
        <w:jc w:val="center"/>
        <w:rPr>
          <w:rFonts w:ascii="方正小标宋简体" w:eastAsia="方正小标宋简体" w:cs="方正小标宋简体"/>
          <w:sz w:val="66"/>
          <w:szCs w:val="66"/>
        </w:rPr>
      </w:pPr>
      <w:r>
        <w:rPr>
          <w:rFonts w:hint="eastAsia" w:ascii="方正小标宋简体" w:eastAsia="方正小标宋简体" w:cs="方正小标宋简体"/>
          <w:sz w:val="66"/>
          <w:szCs w:val="66"/>
        </w:rPr>
        <w:t>关于自治县</w:t>
      </w:r>
      <w:bookmarkStart w:id="0" w:name="OLE_LINK1"/>
      <w:r>
        <w:rPr>
          <w:rFonts w:hint="eastAsia" w:ascii="方正小标宋简体" w:eastAsia="方正小标宋简体" w:cs="方正小标宋简体"/>
          <w:sz w:val="66"/>
          <w:szCs w:val="66"/>
        </w:rPr>
        <w:t>2025年</w:t>
      </w:r>
    </w:p>
    <w:p w14:paraId="12ACC61A">
      <w:pPr>
        <w:spacing w:line="900" w:lineRule="exact"/>
        <w:jc w:val="center"/>
        <w:rPr>
          <w:rFonts w:ascii="方正小标宋简体" w:eastAsia="方正小标宋简体" w:cs="方正小标宋简体"/>
          <w:sz w:val="66"/>
          <w:szCs w:val="66"/>
        </w:rPr>
      </w:pPr>
      <w:r>
        <w:rPr>
          <w:rFonts w:hint="eastAsia" w:ascii="方正小标宋简体" w:eastAsia="方正小标宋简体" w:cs="方正小标宋简体"/>
          <w:sz w:val="66"/>
          <w:szCs w:val="66"/>
        </w:rPr>
        <w:t>财政预算执行情况及2026年</w:t>
      </w:r>
    </w:p>
    <w:p w14:paraId="09389204">
      <w:pPr>
        <w:spacing w:line="900" w:lineRule="exact"/>
        <w:jc w:val="center"/>
        <w:rPr>
          <w:rFonts w:ascii="方正小标宋简体" w:eastAsia="方正小标宋简体" w:cs="方正小标宋简体"/>
          <w:sz w:val="66"/>
          <w:szCs w:val="66"/>
        </w:rPr>
      </w:pPr>
      <w:r>
        <w:rPr>
          <w:rFonts w:hint="eastAsia" w:ascii="方正小标宋简体" w:eastAsia="方正小标宋简体" w:cs="方正小标宋简体"/>
          <w:sz w:val="66"/>
          <w:szCs w:val="66"/>
        </w:rPr>
        <w:t>财政预算（草案）的</w:t>
      </w:r>
    </w:p>
    <w:p w14:paraId="5A464A44">
      <w:pPr>
        <w:spacing w:line="900" w:lineRule="exact"/>
        <w:jc w:val="center"/>
        <w:rPr>
          <w:rFonts w:ascii="方正小标宋简体" w:eastAsia="方正小标宋简体" w:cs="方正小标宋简体"/>
          <w:sz w:val="66"/>
          <w:szCs w:val="66"/>
        </w:rPr>
      </w:pPr>
      <w:r>
        <w:rPr>
          <w:rFonts w:hint="eastAsia" w:ascii="方正小标宋简体" w:eastAsia="方正小标宋简体" w:cs="方正小标宋简体"/>
          <w:sz w:val="66"/>
          <w:szCs w:val="66"/>
        </w:rPr>
        <w:t xml:space="preserve">报 </w:t>
      </w:r>
      <w:bookmarkStart w:id="15" w:name="_GoBack"/>
      <w:bookmarkEnd w:id="15"/>
      <w:r>
        <w:rPr>
          <w:rFonts w:hint="eastAsia" w:ascii="方正小标宋简体" w:eastAsia="方正小标宋简体" w:cs="方正小标宋简体"/>
          <w:sz w:val="66"/>
          <w:szCs w:val="66"/>
        </w:rPr>
        <w:t xml:space="preserve"> 告</w:t>
      </w:r>
    </w:p>
    <w:bookmarkEnd w:id="0"/>
    <w:p w14:paraId="559BEFFD">
      <w:pPr>
        <w:spacing w:line="560" w:lineRule="exact"/>
        <w:jc w:val="center"/>
        <w:rPr>
          <w:rFonts w:ascii="楷体_GB2312" w:eastAsia="楷体_GB2312"/>
          <w:u w:color="000000"/>
        </w:rPr>
      </w:pPr>
    </w:p>
    <w:p w14:paraId="5A529C38">
      <w:pPr>
        <w:spacing w:line="560" w:lineRule="exact"/>
        <w:jc w:val="center"/>
        <w:rPr>
          <w:rFonts w:ascii="楷体_GB2312" w:eastAsia="楷体_GB2312"/>
          <w:u w:color="000000"/>
        </w:rPr>
      </w:pPr>
    </w:p>
    <w:p w14:paraId="2E3FEBFC">
      <w:pPr>
        <w:widowControl/>
        <w:overflowPunct w:val="0"/>
        <w:spacing w:line="560" w:lineRule="exact"/>
        <w:jc w:val="center"/>
        <w:rPr>
          <w:rFonts w:ascii="楷体_GB2312" w:hAnsi="楷体_GB2312" w:eastAsia="楷体_GB2312" w:cs="楷体_GB2312"/>
          <w:sz w:val="32"/>
          <w:szCs w:val="32"/>
        </w:rPr>
      </w:pPr>
      <w:r>
        <w:rPr>
          <w:rFonts w:hint="eastAsia" w:ascii="黑体" w:hAnsi="黑体" w:eastAsia="黑体" w:cs="黑体"/>
          <w:sz w:val="32"/>
          <w:szCs w:val="32"/>
        </w:rPr>
        <w:t>——</w:t>
      </w:r>
      <w:r>
        <w:rPr>
          <w:rFonts w:hint="eastAsia" w:ascii="楷体_GB2312" w:hAnsi="楷体_GB2312" w:eastAsia="楷体_GB2312" w:cs="楷体_GB2312"/>
          <w:sz w:val="32"/>
          <w:szCs w:val="32"/>
        </w:rPr>
        <w:t>2026年</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日在肃南裕固族自治县</w:t>
      </w:r>
    </w:p>
    <w:p w14:paraId="654CDBA4">
      <w:pPr>
        <w:widowControl/>
        <w:overflowPunct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第十九届人民代表大会第</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次会议上</w:t>
      </w:r>
    </w:p>
    <w:p w14:paraId="50930C27">
      <w:pPr>
        <w:snapToGrid w:val="0"/>
        <w:spacing w:before="317" w:beforeLines="100" w:after="317" w:afterLines="100" w:line="560" w:lineRule="exact"/>
        <w:textAlignment w:val="baseline"/>
        <w:rPr>
          <w:rFonts w:ascii="仿宋_GB2312" w:hAnsi="宋体" w:eastAsia="仿宋_GB2312"/>
          <w:b/>
          <w:kern w:val="0"/>
          <w:sz w:val="36"/>
          <w:szCs w:val="36"/>
          <w:u w:color="000000"/>
        </w:rPr>
      </w:pPr>
    </w:p>
    <w:p w14:paraId="34460B63">
      <w:pPr>
        <w:snapToGrid w:val="0"/>
        <w:spacing w:before="317" w:beforeLines="100" w:after="317" w:afterLines="100" w:line="560" w:lineRule="exact"/>
        <w:jc w:val="center"/>
        <w:textAlignment w:val="baseline"/>
        <w:rPr>
          <w:rFonts w:ascii="仿宋_GB2312" w:hAnsi="宋体" w:eastAsia="仿宋_GB2312"/>
          <w:b/>
          <w:kern w:val="0"/>
          <w:sz w:val="36"/>
          <w:szCs w:val="36"/>
          <w:u w:color="000000"/>
        </w:rPr>
      </w:pPr>
    </w:p>
    <w:p w14:paraId="7E2F98EC">
      <w:pPr>
        <w:snapToGrid w:val="0"/>
        <w:spacing w:before="317" w:beforeLines="100" w:after="317" w:afterLines="100" w:line="560" w:lineRule="exact"/>
        <w:jc w:val="center"/>
        <w:textAlignment w:val="baseline"/>
        <w:rPr>
          <w:rFonts w:ascii="楷体_GB2312" w:hAnsi="楷体_GB2312" w:eastAsia="楷体_GB2312" w:cs="楷体_GB2312"/>
          <w:b/>
          <w:kern w:val="0"/>
          <w:sz w:val="36"/>
          <w:szCs w:val="36"/>
          <w:u w:color="000000"/>
        </w:rPr>
      </w:pPr>
      <w:r>
        <w:rPr>
          <w:rFonts w:hint="eastAsia" w:ascii="楷体_GB2312" w:hAnsi="楷体_GB2312" w:eastAsia="楷体_GB2312" w:cs="楷体_GB2312"/>
          <w:b/>
          <w:kern w:val="0"/>
          <w:sz w:val="36"/>
          <w:szCs w:val="36"/>
          <w:u w:color="000000"/>
        </w:rPr>
        <w:t>肃南裕固族自治县财政局局长  孙玉国</w:t>
      </w:r>
    </w:p>
    <w:p w14:paraId="030A8C46">
      <w:pPr>
        <w:snapToGrid w:val="0"/>
        <w:spacing w:before="317" w:beforeLines="100" w:after="317" w:afterLines="100" w:line="560" w:lineRule="exact"/>
        <w:jc w:val="center"/>
        <w:textAlignment w:val="baseline"/>
        <w:rPr>
          <w:rFonts w:ascii="楷体_GB2312" w:hAnsi="楷体_GB2312" w:eastAsia="楷体_GB2312" w:cs="楷体_GB2312"/>
          <w:b/>
          <w:kern w:val="0"/>
          <w:sz w:val="36"/>
          <w:szCs w:val="36"/>
          <w:u w:color="000000"/>
        </w:rPr>
      </w:pPr>
    </w:p>
    <w:p w14:paraId="46B41AB1">
      <w:pPr>
        <w:snapToGrid w:val="0"/>
        <w:spacing w:before="317" w:beforeLines="100" w:after="317" w:afterLines="100" w:line="560" w:lineRule="exact"/>
        <w:jc w:val="center"/>
        <w:textAlignment w:val="baseline"/>
        <w:rPr>
          <w:rFonts w:ascii="楷体_GB2312" w:hAnsi="楷体_GB2312" w:eastAsia="楷体_GB2312" w:cs="楷体_GB2312"/>
          <w:b/>
          <w:kern w:val="0"/>
          <w:sz w:val="36"/>
          <w:szCs w:val="36"/>
          <w:u w:color="000000"/>
        </w:rPr>
      </w:pPr>
    </w:p>
    <w:p w14:paraId="0670DA2A">
      <w:pPr>
        <w:snapToGrid w:val="0"/>
        <w:spacing w:before="317" w:beforeLines="100" w:after="317" w:afterLines="100" w:line="560" w:lineRule="exact"/>
        <w:jc w:val="center"/>
        <w:textAlignment w:val="baseline"/>
        <w:rPr>
          <w:rFonts w:ascii="楷体_GB2312" w:hAnsi="楷体_GB2312" w:eastAsia="楷体_GB2312" w:cs="楷体_GB2312"/>
          <w:b/>
          <w:kern w:val="0"/>
          <w:sz w:val="36"/>
          <w:szCs w:val="36"/>
          <w:u w:color="000000"/>
        </w:rPr>
      </w:pPr>
    </w:p>
    <w:p w14:paraId="326E29EB">
      <w:pPr>
        <w:snapToGrid w:val="0"/>
        <w:spacing w:before="317" w:beforeLines="100" w:after="317" w:afterLines="100" w:line="560" w:lineRule="exact"/>
        <w:jc w:val="center"/>
        <w:textAlignment w:val="baseline"/>
        <w:rPr>
          <w:rFonts w:ascii="楷体_GB2312" w:hAnsi="楷体_GB2312" w:eastAsia="楷体_GB2312" w:cs="楷体_GB2312"/>
          <w:b/>
          <w:kern w:val="0"/>
          <w:sz w:val="36"/>
          <w:szCs w:val="36"/>
          <w:u w:color="000000"/>
        </w:rPr>
        <w:sectPr>
          <w:footerReference r:id="rId3" w:type="default"/>
          <w:footerReference r:id="rId4" w:type="even"/>
          <w:pgSz w:w="11905" w:h="16838"/>
          <w:pgMar w:top="1587" w:right="1531" w:bottom="1587" w:left="1531" w:header="851" w:footer="1417" w:gutter="0"/>
          <w:pgNumType w:fmt="numberInDash" w:start="1"/>
          <w:cols w:space="0" w:num="1"/>
          <w:rtlGutter w:val="0"/>
          <w:docGrid w:type="linesAndChars" w:linePitch="317" w:charSpace="0"/>
        </w:sectPr>
      </w:pPr>
    </w:p>
    <w:p w14:paraId="474AD9BD">
      <w:pPr>
        <w:spacing w:line="560" w:lineRule="exact"/>
        <w:rPr>
          <w:rFonts w:ascii="黑体" w:eastAsia="黑体" w:cs="Times New Roman"/>
          <w:color w:val="000000" w:themeColor="text1"/>
          <w:sz w:val="32"/>
          <w:szCs w:val="32"/>
          <w14:textFill>
            <w14:solidFill>
              <w14:schemeClr w14:val="tx1"/>
            </w14:solidFill>
          </w14:textFill>
        </w:rPr>
      </w:pPr>
      <w:r>
        <w:rPr>
          <w:rFonts w:hint="eastAsia"/>
          <w:kern w:val="0"/>
          <w:sz w:val="10"/>
          <w:szCs w:val="10"/>
          <w:u w:color="000000"/>
        </w:rPr>
        <w:t xml:space="preserve"> </w:t>
      </w:r>
    </w:p>
    <w:p w14:paraId="1D8FF86F">
      <w:pPr>
        <w:spacing w:line="560" w:lineRule="exact"/>
        <w:jc w:val="center"/>
        <w:rPr>
          <w:rFonts w:asci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eastAsia="方正小标宋简体" w:cs="方正小标宋简体"/>
          <w:color w:val="000000" w:themeColor="text1"/>
          <w:sz w:val="44"/>
          <w:szCs w:val="44"/>
          <w14:textFill>
            <w14:solidFill>
              <w14:schemeClr w14:val="tx1"/>
            </w14:solidFill>
          </w14:textFill>
        </w:rPr>
        <w:t>关于自治县2025年财政预算执行情况及</w:t>
      </w:r>
    </w:p>
    <w:p w14:paraId="373A8CD2">
      <w:pPr>
        <w:spacing w:line="560" w:lineRule="exact"/>
        <w:jc w:val="center"/>
        <w:rPr>
          <w:rFonts w:ascii="方正小标宋简体" w:eastAsia="方正小标宋简体" w:cs="Times New Roman"/>
          <w:color w:val="000000" w:themeColor="text1"/>
          <w:sz w:val="44"/>
          <w:szCs w:val="44"/>
          <w14:textFill>
            <w14:solidFill>
              <w14:schemeClr w14:val="tx1"/>
            </w14:solidFill>
          </w14:textFill>
        </w:rPr>
      </w:pPr>
      <w:r>
        <w:rPr>
          <w:rFonts w:hint="eastAsia" w:ascii="方正小标宋简体" w:eastAsia="方正小标宋简体" w:cs="方正小标宋简体"/>
          <w:color w:val="000000" w:themeColor="text1"/>
          <w:sz w:val="44"/>
          <w:szCs w:val="44"/>
          <w14:textFill>
            <w14:solidFill>
              <w14:schemeClr w14:val="tx1"/>
            </w14:solidFill>
          </w14:textFill>
        </w:rPr>
        <w:t>2026年财政预算（草案）的报告</w:t>
      </w:r>
    </w:p>
    <w:p w14:paraId="5C392D9A">
      <w:pPr>
        <w:pStyle w:val="18"/>
        <w:tabs>
          <w:tab w:val="left" w:pos="6096"/>
        </w:tabs>
        <w:overflowPunct w:val="0"/>
        <w:adjustRightInd w:val="0"/>
        <w:snapToGrid w:val="0"/>
        <w:spacing w:line="560" w:lineRule="exact"/>
        <w:jc w:val="center"/>
        <w:rPr>
          <w:rFonts w:ascii="楷体_GB2312" w:eastAsia="楷体_GB2312" w:cs="楷体_GB2312"/>
          <w:snapToGrid w:val="0"/>
          <w:color w:val="000000" w:themeColor="text1"/>
          <w:kern w:val="0"/>
          <w:sz w:val="32"/>
          <w:szCs w:val="32"/>
          <w:lang w:val="zh-TW"/>
          <w14:textFill>
            <w14:solidFill>
              <w14:schemeClr w14:val="tx1"/>
            </w14:solidFill>
          </w14:textFill>
        </w:rPr>
      </w:pPr>
    </w:p>
    <w:p w14:paraId="18975A91">
      <w:pPr>
        <w:widowControl/>
        <w:overflowPunct w:val="0"/>
        <w:spacing w:line="560" w:lineRule="exact"/>
        <w:jc w:val="center"/>
        <w:rPr>
          <w:rFonts w:ascii="楷体_GB2312" w:hAnsi="楷体_GB2312" w:eastAsia="楷体_GB2312" w:cs="楷体_GB2312"/>
          <w:color w:val="000000" w:themeColor="text1"/>
          <w:spacing w:val="-23"/>
          <w:sz w:val="32"/>
          <w:szCs w:val="32"/>
          <w14:textFill>
            <w14:solidFill>
              <w14:schemeClr w14:val="tx1"/>
            </w14:solidFill>
          </w14:textFill>
        </w:rPr>
      </w:pPr>
      <w:r>
        <w:rPr>
          <w:rFonts w:hint="eastAsia" w:ascii="黑体" w:eastAsia="黑体"/>
          <w:color w:val="000000" w:themeColor="text1"/>
          <w:spacing w:val="-23"/>
          <w:sz w:val="32"/>
          <w:szCs w:val="32"/>
          <w14:textFill>
            <w14:solidFill>
              <w14:schemeClr w14:val="tx1"/>
            </w14:solidFill>
          </w14:textFill>
        </w:rPr>
        <w:t>──</w:t>
      </w:r>
      <w:r>
        <w:rPr>
          <w:rFonts w:hint="eastAsia" w:ascii="楷体_GB2312" w:hAnsi="楷体_GB2312" w:eastAsia="楷体_GB2312" w:cs="楷体_GB2312"/>
          <w:color w:val="000000" w:themeColor="text1"/>
          <w:spacing w:val="-23"/>
          <w:sz w:val="32"/>
          <w:szCs w:val="32"/>
          <w14:textFill>
            <w14:solidFill>
              <w14:schemeClr w14:val="tx1"/>
            </w14:solidFill>
          </w14:textFill>
        </w:rPr>
        <w:t>2026年</w:t>
      </w:r>
      <w:r>
        <w:rPr>
          <w:rFonts w:hint="eastAsia" w:ascii="楷体_GB2312" w:hAnsi="楷体_GB2312" w:eastAsia="楷体_GB2312" w:cs="楷体_GB2312"/>
          <w:color w:val="000000" w:themeColor="text1"/>
          <w:spacing w:val="-23"/>
          <w:sz w:val="32"/>
          <w:szCs w:val="32"/>
          <w:lang w:val="en-US" w:eastAsia="zh-CN"/>
          <w14:textFill>
            <w14:solidFill>
              <w14:schemeClr w14:val="tx1"/>
            </w14:solidFill>
          </w14:textFill>
        </w:rPr>
        <w:t>2</w:t>
      </w:r>
      <w:r>
        <w:rPr>
          <w:rFonts w:hint="eastAsia" w:ascii="楷体_GB2312" w:hAnsi="楷体_GB2312" w:eastAsia="楷体_GB2312" w:cs="楷体_GB2312"/>
          <w:color w:val="000000" w:themeColor="text1"/>
          <w:spacing w:val="-23"/>
          <w:sz w:val="32"/>
          <w:szCs w:val="32"/>
          <w14:textFill>
            <w14:solidFill>
              <w14:schemeClr w14:val="tx1"/>
            </w14:solidFill>
          </w14:textFill>
        </w:rPr>
        <w:t>月</w:t>
      </w:r>
      <w:r>
        <w:rPr>
          <w:rFonts w:hint="eastAsia" w:ascii="楷体_GB2312" w:hAnsi="楷体_GB2312" w:eastAsia="楷体_GB2312" w:cs="楷体_GB2312"/>
          <w:color w:val="000000" w:themeColor="text1"/>
          <w:spacing w:val="-23"/>
          <w:sz w:val="32"/>
          <w:szCs w:val="32"/>
          <w:lang w:val="en-US" w:eastAsia="zh-CN"/>
          <w14:textFill>
            <w14:solidFill>
              <w14:schemeClr w14:val="tx1"/>
            </w14:solidFill>
          </w14:textFill>
        </w:rPr>
        <w:t>2</w:t>
      </w:r>
      <w:r>
        <w:rPr>
          <w:rFonts w:hint="eastAsia" w:ascii="楷体_GB2312" w:hAnsi="楷体_GB2312" w:eastAsia="楷体_GB2312" w:cs="楷体_GB2312"/>
          <w:color w:val="000000" w:themeColor="text1"/>
          <w:spacing w:val="-23"/>
          <w:sz w:val="32"/>
          <w:szCs w:val="32"/>
          <w14:textFill>
            <w14:solidFill>
              <w14:schemeClr w14:val="tx1"/>
            </w14:solidFill>
          </w14:textFill>
        </w:rPr>
        <w:t>日在自治县第十九届人民代表大会第</w:t>
      </w:r>
      <w:r>
        <w:rPr>
          <w:rFonts w:hint="eastAsia" w:ascii="楷体_GB2312" w:hAnsi="楷体_GB2312" w:eastAsia="楷体_GB2312" w:cs="楷体_GB2312"/>
          <w:color w:val="000000" w:themeColor="text1"/>
          <w:spacing w:val="-23"/>
          <w:sz w:val="32"/>
          <w:szCs w:val="32"/>
          <w:lang w:eastAsia="zh-CN"/>
          <w14:textFill>
            <w14:solidFill>
              <w14:schemeClr w14:val="tx1"/>
            </w14:solidFill>
          </w14:textFill>
        </w:rPr>
        <w:t>五</w:t>
      </w:r>
      <w:r>
        <w:rPr>
          <w:rFonts w:hint="eastAsia" w:ascii="楷体_GB2312" w:hAnsi="楷体_GB2312" w:eastAsia="楷体_GB2312" w:cs="楷体_GB2312"/>
          <w:color w:val="000000" w:themeColor="text1"/>
          <w:spacing w:val="-23"/>
          <w:sz w:val="32"/>
          <w:szCs w:val="32"/>
          <w14:textFill>
            <w14:solidFill>
              <w14:schemeClr w14:val="tx1"/>
            </w14:solidFill>
          </w14:textFill>
        </w:rPr>
        <w:t>次会议上</w:t>
      </w:r>
    </w:p>
    <w:p w14:paraId="017A3C8E">
      <w:pPr>
        <w:spacing w:line="560" w:lineRule="exact"/>
        <w:jc w:val="center"/>
        <w:rPr>
          <w:rFonts w:ascii="楷体_GB2312" w:eastAsia="楷体_GB2312" w:cs="Times New Roman"/>
          <w:color w:val="000000" w:themeColor="text1"/>
          <w:spacing w:val="-10"/>
          <w:sz w:val="32"/>
          <w:szCs w:val="32"/>
          <w14:textFill>
            <w14:solidFill>
              <w14:schemeClr w14:val="tx1"/>
            </w14:solidFill>
          </w14:textFill>
        </w:rPr>
      </w:pPr>
    </w:p>
    <w:p w14:paraId="4971B8D3">
      <w:pPr>
        <w:spacing w:line="560" w:lineRule="exact"/>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肃南裕固族自治县财政局局长  孙玉国</w:t>
      </w:r>
    </w:p>
    <w:p w14:paraId="2ACC5B0F">
      <w:pPr>
        <w:spacing w:line="560" w:lineRule="exact"/>
        <w:rPr>
          <w:rFonts w:ascii="方正小标宋简体" w:eastAsia="方正小标宋简体" w:cs="Times New Roman"/>
          <w:color w:val="000000" w:themeColor="text1"/>
          <w:sz w:val="44"/>
          <w:szCs w:val="44"/>
          <w14:textFill>
            <w14:solidFill>
              <w14:schemeClr w14:val="tx1"/>
            </w14:solidFill>
          </w14:textFill>
        </w:rPr>
      </w:pPr>
    </w:p>
    <w:p w14:paraId="7CCE1CAC">
      <w:pPr>
        <w:spacing w:line="560" w:lineRule="exact"/>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各位代表：</w:t>
      </w:r>
    </w:p>
    <w:p w14:paraId="0A2EE4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仿宋_GB2312"/>
          <w:color w:val="000000" w:themeColor="text1"/>
          <w:spacing w:val="0"/>
          <w:sz w:val="32"/>
          <w:szCs w:val="32"/>
          <w14:textFill>
            <w14:solidFill>
              <w14:schemeClr w14:val="tx1"/>
            </w14:solidFill>
          </w14:textFill>
        </w:rPr>
      </w:pPr>
      <w:r>
        <w:rPr>
          <w:rFonts w:hint="eastAsia" w:ascii="仿宋_GB2312" w:eastAsia="仿宋_GB2312" w:cs="仿宋_GB2312"/>
          <w:color w:val="000000" w:themeColor="text1"/>
          <w:spacing w:val="0"/>
          <w:sz w:val="32"/>
          <w:szCs w:val="32"/>
          <w14:textFill>
            <w14:solidFill>
              <w14:schemeClr w14:val="tx1"/>
            </w14:solidFill>
          </w14:textFill>
        </w:rPr>
        <w:t>受自治县人民政府委托，现将</w:t>
      </w:r>
      <w:r>
        <w:rPr>
          <w:rFonts w:ascii="仿宋_GB2312" w:eastAsia="仿宋_GB2312" w:cs="仿宋_GB2312"/>
          <w:color w:val="000000" w:themeColor="text1"/>
          <w:spacing w:val="0"/>
          <w:sz w:val="32"/>
          <w:szCs w:val="32"/>
          <w14:textFill>
            <w14:solidFill>
              <w14:schemeClr w14:val="tx1"/>
            </w14:solidFill>
          </w14:textFill>
        </w:rPr>
        <w:t>自治县</w:t>
      </w:r>
      <w:r>
        <w:rPr>
          <w:rFonts w:hint="eastAsia" w:ascii="仿宋_GB2312" w:eastAsia="仿宋_GB2312" w:cs="仿宋_GB2312"/>
          <w:color w:val="000000" w:themeColor="text1"/>
          <w:spacing w:val="0"/>
          <w:sz w:val="32"/>
          <w:szCs w:val="32"/>
          <w14:textFill>
            <w14:solidFill>
              <w14:schemeClr w14:val="tx1"/>
            </w14:solidFill>
          </w14:textFill>
        </w:rPr>
        <w:t>2025年财政预算执行情况和2026年财政预算（草案）提请十九届人大</w:t>
      </w:r>
      <w:r>
        <w:rPr>
          <w:rFonts w:hint="eastAsia" w:ascii="仿宋_GB2312" w:eastAsia="仿宋_GB2312" w:cs="仿宋_GB2312"/>
          <w:color w:val="000000" w:themeColor="text1"/>
          <w:spacing w:val="0"/>
          <w:sz w:val="32"/>
          <w:szCs w:val="32"/>
          <w:lang w:eastAsia="zh-CN"/>
          <w14:textFill>
            <w14:solidFill>
              <w14:schemeClr w14:val="tx1"/>
            </w14:solidFill>
          </w14:textFill>
        </w:rPr>
        <w:t>五</w:t>
      </w:r>
      <w:r>
        <w:rPr>
          <w:rFonts w:hint="eastAsia" w:ascii="仿宋_GB2312" w:eastAsia="仿宋_GB2312" w:cs="仿宋_GB2312"/>
          <w:color w:val="000000" w:themeColor="text1"/>
          <w:spacing w:val="0"/>
          <w:sz w:val="32"/>
          <w:szCs w:val="32"/>
          <w14:textFill>
            <w14:solidFill>
              <w14:schemeClr w14:val="tx1"/>
            </w14:solidFill>
          </w14:textFill>
        </w:rPr>
        <w:t>次会议审议，并请</w:t>
      </w:r>
      <w:r>
        <w:rPr>
          <w:rFonts w:ascii="仿宋_GB2312" w:eastAsia="仿宋_GB2312" w:cs="仿宋_GB2312"/>
          <w:color w:val="000000" w:themeColor="text1"/>
          <w:spacing w:val="0"/>
          <w:sz w:val="32"/>
          <w:szCs w:val="32"/>
          <w14:textFill>
            <w14:solidFill>
              <w14:schemeClr w14:val="tx1"/>
            </w14:solidFill>
          </w14:textFill>
        </w:rPr>
        <w:t>各位</w:t>
      </w:r>
      <w:r>
        <w:rPr>
          <w:rFonts w:hint="eastAsia" w:ascii="仿宋_GB2312" w:eastAsia="仿宋_GB2312" w:cs="仿宋_GB2312"/>
          <w:color w:val="000000" w:themeColor="text1"/>
          <w:spacing w:val="0"/>
          <w:sz w:val="32"/>
          <w:szCs w:val="32"/>
          <w14:textFill>
            <w14:solidFill>
              <w14:schemeClr w14:val="tx1"/>
            </w14:solidFill>
          </w14:textFill>
        </w:rPr>
        <w:t>政协委员和列席</w:t>
      </w:r>
      <w:r>
        <w:rPr>
          <w:rFonts w:ascii="仿宋_GB2312" w:eastAsia="仿宋_GB2312" w:cs="仿宋_GB2312"/>
          <w:color w:val="000000" w:themeColor="text1"/>
          <w:spacing w:val="0"/>
          <w:sz w:val="32"/>
          <w:szCs w:val="32"/>
          <w14:textFill>
            <w14:solidFill>
              <w14:schemeClr w14:val="tx1"/>
            </w14:solidFill>
          </w14:textFill>
        </w:rPr>
        <w:t>会议的同志</w:t>
      </w:r>
      <w:r>
        <w:rPr>
          <w:rFonts w:hint="eastAsia" w:ascii="仿宋_GB2312" w:eastAsia="仿宋_GB2312" w:cs="仿宋_GB2312"/>
          <w:color w:val="000000" w:themeColor="text1"/>
          <w:spacing w:val="0"/>
          <w:sz w:val="32"/>
          <w:szCs w:val="32"/>
          <w14:textFill>
            <w14:solidFill>
              <w14:schemeClr w14:val="tx1"/>
            </w14:solidFill>
          </w14:textFill>
        </w:rPr>
        <w:t>提出意见建议。</w:t>
      </w:r>
    </w:p>
    <w:p w14:paraId="4404B3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eastAsia="黑体" w:cs="楷体_GB2312"/>
          <w:color w:val="000000" w:themeColor="text1"/>
          <w:spacing w:val="0"/>
          <w:sz w:val="32"/>
          <w:szCs w:val="32"/>
          <w14:textFill>
            <w14:solidFill>
              <w14:schemeClr w14:val="tx1"/>
            </w14:solidFill>
          </w14:textFill>
        </w:rPr>
      </w:pPr>
      <w:r>
        <w:rPr>
          <w:rFonts w:hint="eastAsia" w:ascii="黑体" w:eastAsia="黑体" w:cs="楷体_GB2312"/>
          <w:color w:val="000000" w:themeColor="text1"/>
          <w:spacing w:val="0"/>
          <w:sz w:val="32"/>
          <w:szCs w:val="32"/>
          <w14:textFill>
            <w14:solidFill>
              <w14:schemeClr w14:val="tx1"/>
            </w14:solidFill>
          </w14:textFill>
        </w:rPr>
        <w:t>一、2025年财政预算执行情况及“十四五”财政工作回顾</w:t>
      </w:r>
    </w:p>
    <w:p w14:paraId="037A25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仿宋_GB2312"/>
          <w:color w:val="000000" w:themeColor="text1"/>
          <w:spacing w:val="0"/>
          <w:sz w:val="32"/>
          <w:szCs w:val="32"/>
          <w14:textFill>
            <w14:solidFill>
              <w14:schemeClr w14:val="tx1"/>
            </w14:solidFill>
          </w14:textFill>
        </w:rPr>
      </w:pPr>
      <w:r>
        <w:rPr>
          <w:rFonts w:hint="eastAsia" w:ascii="仿宋_GB2312" w:eastAsia="仿宋_GB2312" w:cs="仿宋_GB2312"/>
          <w:color w:val="000000" w:themeColor="text1"/>
          <w:spacing w:val="0"/>
          <w:sz w:val="32"/>
          <w:szCs w:val="32"/>
          <w14:textFill>
            <w14:solidFill>
              <w14:schemeClr w14:val="tx1"/>
            </w14:solidFill>
          </w14:textFill>
        </w:rPr>
        <w:t>2025年是“十四五”规划收官之年，也是谋划“十五五”的关键之年。在县委、县政府的坚强领导和县人大、县政协的监督支持下，县财政局坚持以习近平新时代中国特色社会主义思想为指导，全面学习贯彻党的二十大和二十届历次全会精神，认真落实中央、省、市、县各项决策部署，紧紧围绕全县经济社会发展目标，积极应对经济下行压力和财政收支矛盾，不断优化财政收支结构，强化财政管理效能，全力服务县域经济工作大局，为自治县高质量发展提供了有力</w:t>
      </w:r>
      <w:r>
        <w:rPr>
          <w:rFonts w:hint="eastAsia" w:ascii="仿宋_GB2312" w:eastAsia="仿宋_GB2312" w:cs="仿宋_GB2312"/>
          <w:color w:val="000000" w:themeColor="text1"/>
          <w:spacing w:val="0"/>
          <w:sz w:val="32"/>
          <w:szCs w:val="32"/>
          <w:lang w:val="en-US" w:eastAsia="zh-CN"/>
          <w14:textFill>
            <w14:solidFill>
              <w14:schemeClr w14:val="tx1"/>
            </w14:solidFill>
          </w14:textFill>
        </w:rPr>
        <w:t>的</w:t>
      </w:r>
      <w:r>
        <w:rPr>
          <w:rFonts w:hint="eastAsia" w:ascii="仿宋_GB2312" w:eastAsia="仿宋_GB2312" w:cs="仿宋_GB2312"/>
          <w:color w:val="000000" w:themeColor="text1"/>
          <w:spacing w:val="0"/>
          <w:sz w:val="32"/>
          <w:szCs w:val="32"/>
          <w14:textFill>
            <w14:solidFill>
              <w14:schemeClr w14:val="tx1"/>
            </w14:solidFill>
          </w14:textFill>
        </w:rPr>
        <w:t>财力保障。</w:t>
      </w:r>
    </w:p>
    <w:p w14:paraId="7FFCFC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_GB2312" w:eastAsia="楷体_GB2312" w:cs="仿宋_GB2312"/>
          <w:b/>
          <w:color w:val="000000" w:themeColor="text1"/>
          <w:spacing w:val="0"/>
          <w:sz w:val="32"/>
          <w:szCs w:val="32"/>
          <w14:textFill>
            <w14:solidFill>
              <w14:schemeClr w14:val="tx1"/>
            </w14:solidFill>
          </w14:textFill>
        </w:rPr>
      </w:pPr>
      <w:r>
        <w:rPr>
          <w:rFonts w:hint="eastAsia" w:ascii="楷体_GB2312" w:eastAsia="楷体_GB2312" w:cs="仿宋_GB2312"/>
          <w:b/>
          <w:color w:val="000000" w:themeColor="text1"/>
          <w:spacing w:val="0"/>
          <w:sz w:val="32"/>
          <w:szCs w:val="32"/>
          <w14:textFill>
            <w14:solidFill>
              <w14:schemeClr w14:val="tx1"/>
            </w14:solidFill>
          </w14:textFill>
        </w:rPr>
        <w:t>（一）2025年财政预算执行情况</w:t>
      </w:r>
    </w:p>
    <w:p w14:paraId="277B67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仿宋_GB2312"/>
          <w:color w:val="000000" w:themeColor="text1"/>
          <w:spacing w:val="0"/>
          <w:sz w:val="32"/>
          <w:szCs w:val="32"/>
          <w14:textFill>
            <w14:solidFill>
              <w14:schemeClr w14:val="tx1"/>
            </w14:solidFill>
          </w14:textFill>
        </w:rPr>
      </w:pPr>
      <w:r>
        <w:rPr>
          <w:rFonts w:hint="eastAsia" w:ascii="仿宋_GB2312" w:eastAsia="仿宋_GB2312" w:cs="仿宋_GB2312"/>
          <w:b/>
          <w:bCs/>
          <w:color w:val="000000" w:themeColor="text1"/>
          <w:spacing w:val="0"/>
          <w:sz w:val="32"/>
          <w:szCs w:val="32"/>
          <w:lang w:val="en-US" w:eastAsia="zh-CN"/>
          <w14:textFill>
            <w14:solidFill>
              <w14:schemeClr w14:val="tx1"/>
            </w14:solidFill>
          </w14:textFill>
        </w:rPr>
        <w:t>1.</w:t>
      </w:r>
      <w:r>
        <w:rPr>
          <w:rFonts w:hint="eastAsia" w:ascii="仿宋_GB2312" w:eastAsia="仿宋_GB2312" w:cs="仿宋_GB2312"/>
          <w:b/>
          <w:bCs/>
          <w:color w:val="000000" w:themeColor="text1"/>
          <w:spacing w:val="0"/>
          <w:sz w:val="32"/>
          <w:szCs w:val="32"/>
          <w14:textFill>
            <w14:solidFill>
              <w14:schemeClr w14:val="tx1"/>
            </w14:solidFill>
          </w14:textFill>
        </w:rPr>
        <w:t>一般公共预算执行情况。</w:t>
      </w:r>
      <w:r>
        <w:rPr>
          <w:rFonts w:hint="eastAsia" w:ascii="仿宋_GB2312" w:eastAsia="仿宋_GB2312" w:cs="仿宋_GB2312"/>
          <w:color w:val="000000" w:themeColor="text1"/>
          <w:spacing w:val="0"/>
          <w:sz w:val="32"/>
          <w:szCs w:val="32"/>
          <w14:textFill>
            <w14:solidFill>
              <w14:schemeClr w14:val="tx1"/>
            </w14:solidFill>
          </w14:textFill>
        </w:rPr>
        <w:t>截止12月底，全县一般公共预算收入完成36341万元，同比增长6.85%，其中：税收收入完成20896万元，同比增长21.33%，非税收入完成15445万元，同比下降8.01%。按照决算口径</w:t>
      </w:r>
      <w:r>
        <w:rPr>
          <w:rFonts w:ascii="仿宋_GB2312" w:eastAsia="仿宋_GB2312" w:cs="仿宋_GB2312"/>
          <w:color w:val="000000" w:themeColor="text1"/>
          <w:spacing w:val="0"/>
          <w:sz w:val="32"/>
          <w:szCs w:val="32"/>
          <w14:textFill>
            <w14:solidFill>
              <w14:schemeClr w14:val="tx1"/>
            </w14:solidFill>
          </w14:textFill>
        </w:rPr>
        <w:t>，一般公共预算收入</w:t>
      </w:r>
      <w:r>
        <w:rPr>
          <w:rFonts w:hint="eastAsia" w:ascii="仿宋_GB2312" w:eastAsia="仿宋_GB2312" w:cs="仿宋_GB2312"/>
          <w:color w:val="000000" w:themeColor="text1"/>
          <w:spacing w:val="0"/>
          <w:sz w:val="32"/>
          <w:szCs w:val="32"/>
          <w14:textFill>
            <w14:solidFill>
              <w14:schemeClr w14:val="tx1"/>
            </w14:solidFill>
          </w14:textFill>
        </w:rPr>
        <w:t>36341万元，加上级补助收入</w:t>
      </w:r>
      <w:r>
        <w:rPr>
          <w:rFonts w:hint="eastAsia" w:ascii="仿宋_GB2312" w:eastAsia="仿宋_GB2312" w:cs="仿宋_GB2312"/>
          <w:color w:val="000000" w:themeColor="text1"/>
          <w:spacing w:val="0"/>
          <w:sz w:val="32"/>
          <w:szCs w:val="32"/>
          <w:lang w:val="en-US" w:eastAsia="zh-CN"/>
          <w14:textFill>
            <w14:solidFill>
              <w14:schemeClr w14:val="tx1"/>
            </w14:solidFill>
          </w14:textFill>
        </w:rPr>
        <w:t>167118</w:t>
      </w:r>
      <w:r>
        <w:rPr>
          <w:rFonts w:hint="eastAsia" w:ascii="仿宋_GB2312" w:eastAsia="仿宋_GB2312" w:cs="仿宋_GB2312"/>
          <w:color w:val="000000" w:themeColor="text1"/>
          <w:spacing w:val="0"/>
          <w:sz w:val="32"/>
          <w:szCs w:val="32"/>
          <w14:textFill>
            <w14:solidFill>
              <w14:schemeClr w14:val="tx1"/>
            </w14:solidFill>
          </w14:textFill>
        </w:rPr>
        <w:t>万元、上年结转收入32847万元、地方政府一般债务</w:t>
      </w:r>
      <w:r>
        <w:rPr>
          <w:rFonts w:ascii="仿宋_GB2312" w:eastAsia="仿宋_GB2312" w:cs="仿宋_GB2312"/>
          <w:color w:val="000000" w:themeColor="text1"/>
          <w:spacing w:val="0"/>
          <w:sz w:val="32"/>
          <w:szCs w:val="32"/>
          <w14:textFill>
            <w14:solidFill>
              <w14:schemeClr w14:val="tx1"/>
            </w14:solidFill>
          </w14:textFill>
        </w:rPr>
        <w:t>转贷</w:t>
      </w:r>
      <w:r>
        <w:rPr>
          <w:rFonts w:hint="eastAsia" w:ascii="仿宋_GB2312" w:eastAsia="仿宋_GB2312" w:cs="仿宋_GB2312"/>
          <w:color w:val="000000" w:themeColor="text1"/>
          <w:spacing w:val="0"/>
          <w:sz w:val="32"/>
          <w:szCs w:val="32"/>
          <w14:textFill>
            <w14:solidFill>
              <w14:schemeClr w14:val="tx1"/>
            </w14:solidFill>
          </w14:textFill>
        </w:rPr>
        <w:t>收入</w:t>
      </w:r>
      <w:r>
        <w:rPr>
          <w:rFonts w:hint="eastAsia" w:ascii="仿宋_GB2312" w:eastAsia="仿宋_GB2312" w:cs="仿宋_GB2312"/>
          <w:color w:val="000000" w:themeColor="text1"/>
          <w:spacing w:val="0"/>
          <w:sz w:val="32"/>
          <w:szCs w:val="32"/>
          <w:lang w:val="en-US" w:eastAsia="zh-CN"/>
          <w14:textFill>
            <w14:solidFill>
              <w14:schemeClr w14:val="tx1"/>
            </w14:solidFill>
          </w14:textFill>
        </w:rPr>
        <w:t>10923</w:t>
      </w:r>
      <w:r>
        <w:rPr>
          <w:rFonts w:hint="eastAsia" w:ascii="仿宋_GB2312" w:eastAsia="仿宋_GB2312" w:cs="仿宋_GB2312"/>
          <w:color w:val="000000" w:themeColor="text1"/>
          <w:spacing w:val="0"/>
          <w:sz w:val="32"/>
          <w:szCs w:val="32"/>
          <w14:textFill>
            <w14:solidFill>
              <w14:schemeClr w14:val="tx1"/>
            </w14:solidFill>
          </w14:textFill>
        </w:rPr>
        <w:t>万元、动用预算稳定调节基金3096万元，收入总量为</w:t>
      </w:r>
      <w:r>
        <w:rPr>
          <w:rFonts w:hint="eastAsia" w:ascii="仿宋_GB2312" w:eastAsia="仿宋_GB2312" w:cs="仿宋_GB2312"/>
          <w:color w:val="000000" w:themeColor="text1"/>
          <w:spacing w:val="0"/>
          <w:sz w:val="32"/>
          <w:szCs w:val="32"/>
          <w:lang w:val="en-US" w:eastAsia="zh-CN"/>
          <w14:textFill>
            <w14:solidFill>
              <w14:schemeClr w14:val="tx1"/>
            </w14:solidFill>
          </w14:textFill>
        </w:rPr>
        <w:t>250325</w:t>
      </w:r>
      <w:r>
        <w:rPr>
          <w:rFonts w:ascii="仿宋_GB2312" w:eastAsia="仿宋_GB2312" w:cs="仿宋_GB2312"/>
          <w:color w:val="000000" w:themeColor="text1"/>
          <w:spacing w:val="0"/>
          <w:sz w:val="32"/>
          <w:szCs w:val="32"/>
          <w14:textFill>
            <w14:solidFill>
              <w14:schemeClr w14:val="tx1"/>
            </w14:solidFill>
          </w14:textFill>
        </w:rPr>
        <w:t>万</w:t>
      </w:r>
      <w:r>
        <w:rPr>
          <w:rFonts w:hint="eastAsia" w:ascii="仿宋_GB2312" w:eastAsia="仿宋_GB2312" w:cs="仿宋_GB2312"/>
          <w:color w:val="000000" w:themeColor="text1"/>
          <w:spacing w:val="0"/>
          <w:sz w:val="32"/>
          <w:szCs w:val="32"/>
          <w14:textFill>
            <w14:solidFill>
              <w14:schemeClr w14:val="tx1"/>
            </w14:solidFill>
          </w14:textFill>
        </w:rPr>
        <w:t>元。一般公共预算支出</w:t>
      </w:r>
      <w:r>
        <w:rPr>
          <w:rFonts w:hint="eastAsia" w:ascii="仿宋_GB2312" w:eastAsia="仿宋_GB2312" w:cs="仿宋_GB2312"/>
          <w:color w:val="000000" w:themeColor="text1"/>
          <w:spacing w:val="0"/>
          <w:sz w:val="32"/>
          <w:szCs w:val="32"/>
          <w:lang w:val="en-US" w:eastAsia="zh-CN"/>
          <w14:textFill>
            <w14:solidFill>
              <w14:schemeClr w14:val="tx1"/>
            </w14:solidFill>
          </w14:textFill>
        </w:rPr>
        <w:t>201593</w:t>
      </w:r>
      <w:r>
        <w:rPr>
          <w:rFonts w:hint="eastAsia" w:ascii="仿宋_GB2312" w:eastAsia="仿宋_GB2312" w:cs="仿宋_GB2312"/>
          <w:color w:val="000000" w:themeColor="text1"/>
          <w:spacing w:val="0"/>
          <w:sz w:val="32"/>
          <w:szCs w:val="32"/>
          <w14:textFill>
            <w14:solidFill>
              <w14:schemeClr w14:val="tx1"/>
            </w14:solidFill>
          </w14:textFill>
        </w:rPr>
        <w:t>万元，同比增长</w:t>
      </w:r>
      <w:r>
        <w:rPr>
          <w:rFonts w:hint="eastAsia" w:ascii="仿宋_GB2312" w:eastAsia="仿宋_GB2312" w:cs="仿宋_GB2312"/>
          <w:color w:val="000000" w:themeColor="text1"/>
          <w:spacing w:val="0"/>
          <w:sz w:val="32"/>
          <w:szCs w:val="32"/>
          <w:lang w:val="en-US" w:eastAsia="zh-CN"/>
          <w14:textFill>
            <w14:solidFill>
              <w14:schemeClr w14:val="tx1"/>
            </w14:solidFill>
          </w14:textFill>
        </w:rPr>
        <w:t>5.24</w:t>
      </w:r>
      <w:r>
        <w:rPr>
          <w:rFonts w:hint="eastAsia" w:ascii="仿宋_GB2312" w:eastAsia="仿宋_GB2312" w:cs="仿宋_GB2312"/>
          <w:color w:val="000000" w:themeColor="text1"/>
          <w:spacing w:val="0"/>
          <w:sz w:val="32"/>
          <w:szCs w:val="32"/>
          <w14:textFill>
            <w14:solidFill>
              <w14:schemeClr w14:val="tx1"/>
            </w14:solidFill>
          </w14:textFill>
        </w:rPr>
        <w:t>%，加上解上级支出578</w:t>
      </w:r>
      <w:r>
        <w:rPr>
          <w:rFonts w:hint="eastAsia" w:ascii="仿宋_GB2312" w:eastAsia="仿宋_GB2312" w:cs="仿宋_GB2312"/>
          <w:color w:val="000000" w:themeColor="text1"/>
          <w:spacing w:val="0"/>
          <w:sz w:val="32"/>
          <w:szCs w:val="32"/>
          <w:lang w:val="en-US" w:eastAsia="zh-CN"/>
          <w14:textFill>
            <w14:solidFill>
              <w14:schemeClr w14:val="tx1"/>
            </w14:solidFill>
          </w14:textFill>
        </w:rPr>
        <w:t>9</w:t>
      </w:r>
      <w:r>
        <w:rPr>
          <w:rFonts w:hint="eastAsia" w:ascii="仿宋_GB2312" w:eastAsia="仿宋_GB2312" w:cs="仿宋_GB2312"/>
          <w:color w:val="000000" w:themeColor="text1"/>
          <w:spacing w:val="0"/>
          <w:sz w:val="32"/>
          <w:szCs w:val="32"/>
          <w14:textFill>
            <w14:solidFill>
              <w14:schemeClr w14:val="tx1"/>
            </w14:solidFill>
          </w14:textFill>
        </w:rPr>
        <w:t>万元，调出资金</w:t>
      </w:r>
      <w:r>
        <w:rPr>
          <w:rFonts w:hint="eastAsia" w:ascii="仿宋_GB2312" w:eastAsia="仿宋_GB2312" w:cs="仿宋_GB2312"/>
          <w:color w:val="000000" w:themeColor="text1"/>
          <w:spacing w:val="0"/>
          <w:sz w:val="32"/>
          <w:szCs w:val="32"/>
          <w:lang w:val="en-US" w:eastAsia="zh-CN"/>
          <w14:textFill>
            <w14:solidFill>
              <w14:schemeClr w14:val="tx1"/>
            </w14:solidFill>
          </w14:textFill>
        </w:rPr>
        <w:t>1267</w:t>
      </w:r>
      <w:r>
        <w:rPr>
          <w:rFonts w:hint="eastAsia" w:ascii="仿宋_GB2312" w:eastAsia="仿宋_GB2312" w:cs="仿宋_GB2312"/>
          <w:color w:val="000000" w:themeColor="text1"/>
          <w:spacing w:val="0"/>
          <w:sz w:val="32"/>
          <w:szCs w:val="32"/>
          <w14:textFill>
            <w14:solidFill>
              <w14:schemeClr w14:val="tx1"/>
            </w14:solidFill>
          </w14:textFill>
        </w:rPr>
        <w:t>万元，地方政府一般债务还本支出1774万元，安排预算稳定调节基金</w:t>
      </w:r>
      <w:r>
        <w:rPr>
          <w:rFonts w:hint="eastAsia" w:ascii="仿宋_GB2312" w:eastAsia="仿宋_GB2312" w:cs="仿宋_GB2312"/>
          <w:color w:val="000000" w:themeColor="text1"/>
          <w:spacing w:val="0"/>
          <w:sz w:val="32"/>
          <w:szCs w:val="32"/>
          <w:lang w:val="en-US" w:eastAsia="zh-CN"/>
          <w14:textFill>
            <w14:solidFill>
              <w14:schemeClr w14:val="tx1"/>
            </w14:solidFill>
          </w14:textFill>
        </w:rPr>
        <w:t>4451</w:t>
      </w:r>
      <w:r>
        <w:rPr>
          <w:rFonts w:hint="eastAsia" w:ascii="仿宋_GB2312" w:eastAsia="仿宋_GB2312" w:cs="仿宋_GB2312"/>
          <w:color w:val="000000" w:themeColor="text1"/>
          <w:spacing w:val="0"/>
          <w:sz w:val="32"/>
          <w:szCs w:val="32"/>
          <w14:textFill>
            <w14:solidFill>
              <w14:schemeClr w14:val="tx1"/>
            </w14:solidFill>
          </w14:textFill>
        </w:rPr>
        <w:t>万元，结转下年支出</w:t>
      </w:r>
      <w:r>
        <w:rPr>
          <w:rFonts w:hint="eastAsia" w:ascii="仿宋_GB2312" w:eastAsia="仿宋_GB2312" w:cs="仿宋_GB2312"/>
          <w:color w:val="000000" w:themeColor="text1"/>
          <w:spacing w:val="0"/>
          <w:sz w:val="32"/>
          <w:szCs w:val="32"/>
          <w:lang w:val="en-US" w:eastAsia="zh-CN"/>
          <w14:textFill>
            <w14:solidFill>
              <w14:schemeClr w14:val="tx1"/>
            </w14:solidFill>
          </w14:textFill>
        </w:rPr>
        <w:t>35451</w:t>
      </w:r>
      <w:r>
        <w:rPr>
          <w:rFonts w:hint="eastAsia" w:ascii="仿宋_GB2312" w:eastAsia="仿宋_GB2312" w:cs="仿宋_GB2312"/>
          <w:color w:val="000000" w:themeColor="text1"/>
          <w:spacing w:val="0"/>
          <w:sz w:val="32"/>
          <w:szCs w:val="32"/>
          <w14:textFill>
            <w14:solidFill>
              <w14:schemeClr w14:val="tx1"/>
            </w14:solidFill>
          </w14:textFill>
        </w:rPr>
        <w:t>万元，支出总量为</w:t>
      </w:r>
      <w:r>
        <w:rPr>
          <w:rFonts w:hint="eastAsia" w:ascii="仿宋_GB2312" w:eastAsia="仿宋_GB2312" w:cs="仿宋_GB2312"/>
          <w:color w:val="000000" w:themeColor="text1"/>
          <w:spacing w:val="0"/>
          <w:sz w:val="32"/>
          <w:szCs w:val="32"/>
          <w:lang w:val="en-US" w:eastAsia="zh-CN"/>
          <w14:textFill>
            <w14:solidFill>
              <w14:schemeClr w14:val="tx1"/>
            </w14:solidFill>
          </w14:textFill>
        </w:rPr>
        <w:t>250325</w:t>
      </w:r>
      <w:r>
        <w:rPr>
          <w:rFonts w:hint="eastAsia" w:ascii="仿宋_GB2312" w:eastAsia="仿宋_GB2312" w:cs="仿宋_GB2312"/>
          <w:color w:val="000000" w:themeColor="text1"/>
          <w:spacing w:val="0"/>
          <w:sz w:val="32"/>
          <w:szCs w:val="32"/>
          <w14:textFill>
            <w14:solidFill>
              <w14:schemeClr w14:val="tx1"/>
            </w14:solidFill>
          </w14:textFill>
        </w:rPr>
        <w:t>万元，收支相抵，全年实现平衡。</w:t>
      </w:r>
    </w:p>
    <w:p w14:paraId="443396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仿宋_GB2312"/>
          <w:color w:val="000000" w:themeColor="text1"/>
          <w:spacing w:val="0"/>
          <w:sz w:val="32"/>
          <w:szCs w:val="32"/>
          <w14:textFill>
            <w14:solidFill>
              <w14:schemeClr w14:val="tx1"/>
            </w14:solidFill>
          </w14:textFill>
        </w:rPr>
      </w:pPr>
      <w:r>
        <w:rPr>
          <w:rFonts w:hint="eastAsia" w:ascii="仿宋_GB2312" w:eastAsia="仿宋_GB2312" w:cs="仿宋_GB2312"/>
          <w:b/>
          <w:bCs/>
          <w:color w:val="000000" w:themeColor="text1"/>
          <w:spacing w:val="0"/>
          <w:sz w:val="32"/>
          <w:szCs w:val="32"/>
          <w:lang w:val="en-US" w:eastAsia="zh-CN"/>
          <w14:textFill>
            <w14:solidFill>
              <w14:schemeClr w14:val="tx1"/>
            </w14:solidFill>
          </w14:textFill>
        </w:rPr>
        <w:t>2.</w:t>
      </w:r>
      <w:r>
        <w:rPr>
          <w:rFonts w:hint="eastAsia" w:ascii="仿宋_GB2312" w:eastAsia="仿宋_GB2312" w:cs="仿宋_GB2312"/>
          <w:b/>
          <w:bCs/>
          <w:color w:val="000000" w:themeColor="text1"/>
          <w:spacing w:val="0"/>
          <w:sz w:val="32"/>
          <w:szCs w:val="32"/>
          <w14:textFill>
            <w14:solidFill>
              <w14:schemeClr w14:val="tx1"/>
            </w14:solidFill>
          </w14:textFill>
        </w:rPr>
        <w:t>政府性基金预算执行情况。</w:t>
      </w:r>
      <w:r>
        <w:rPr>
          <w:rFonts w:hint="eastAsia" w:ascii="仿宋_GB2312" w:eastAsia="仿宋_GB2312" w:cs="仿宋_GB2312"/>
          <w:color w:val="000000" w:themeColor="text1"/>
          <w:spacing w:val="0"/>
          <w:sz w:val="32"/>
          <w:szCs w:val="32"/>
          <w14:textFill>
            <w14:solidFill>
              <w14:schemeClr w14:val="tx1"/>
            </w14:solidFill>
          </w14:textFill>
        </w:rPr>
        <w:t>截止12月底，全县政府性基金收入完成1126万元，同比下降38.47%，</w:t>
      </w:r>
      <w:r>
        <w:rPr>
          <w:rFonts w:hint="eastAsia" w:ascii="仿宋_GB2312" w:eastAsia="仿宋_GB2312"/>
          <w:color w:val="000000" w:themeColor="text1"/>
          <w:spacing w:val="0"/>
          <w:sz w:val="32"/>
          <w:szCs w:val="32"/>
          <w14:textFill>
            <w14:solidFill>
              <w14:schemeClr w14:val="tx1"/>
            </w14:solidFill>
          </w14:textFill>
        </w:rPr>
        <w:t>加上级补助收入</w:t>
      </w:r>
      <w:r>
        <w:rPr>
          <w:rFonts w:hint="eastAsia" w:ascii="仿宋_GB2312" w:eastAsia="仿宋_GB2312"/>
          <w:color w:val="000000" w:themeColor="text1"/>
          <w:spacing w:val="0"/>
          <w:sz w:val="32"/>
          <w:szCs w:val="32"/>
          <w:lang w:val="en-US" w:eastAsia="zh-CN"/>
          <w14:textFill>
            <w14:solidFill>
              <w14:schemeClr w14:val="tx1"/>
            </w14:solidFill>
          </w14:textFill>
        </w:rPr>
        <w:t>687</w:t>
      </w:r>
      <w:r>
        <w:rPr>
          <w:rFonts w:hint="eastAsia" w:ascii="仿宋_GB2312" w:eastAsia="仿宋_GB2312"/>
          <w:color w:val="000000" w:themeColor="text1"/>
          <w:spacing w:val="0"/>
          <w:sz w:val="32"/>
          <w:szCs w:val="32"/>
          <w14:textFill>
            <w14:solidFill>
              <w14:schemeClr w14:val="tx1"/>
            </w14:solidFill>
          </w14:textFill>
        </w:rPr>
        <w:t>万元、上年</w:t>
      </w:r>
      <w:r>
        <w:rPr>
          <w:rFonts w:ascii="仿宋_GB2312" w:eastAsia="仿宋_GB2312"/>
          <w:color w:val="000000" w:themeColor="text1"/>
          <w:spacing w:val="0"/>
          <w:sz w:val="32"/>
          <w:szCs w:val="32"/>
          <w14:textFill>
            <w14:solidFill>
              <w14:schemeClr w14:val="tx1"/>
            </w14:solidFill>
          </w14:textFill>
        </w:rPr>
        <w:t>结余</w:t>
      </w:r>
      <w:r>
        <w:rPr>
          <w:rFonts w:hint="eastAsia" w:ascii="仿宋_GB2312" w:eastAsia="仿宋_GB2312"/>
          <w:color w:val="000000" w:themeColor="text1"/>
          <w:spacing w:val="0"/>
          <w:sz w:val="32"/>
          <w:szCs w:val="32"/>
          <w14:textFill>
            <w14:solidFill>
              <w14:schemeClr w14:val="tx1"/>
            </w14:solidFill>
          </w14:textFill>
        </w:rPr>
        <w:t>收入627万元、调入资金</w:t>
      </w:r>
      <w:r>
        <w:rPr>
          <w:rFonts w:hint="eastAsia" w:ascii="仿宋_GB2312" w:eastAsia="仿宋_GB2312"/>
          <w:color w:val="000000" w:themeColor="text1"/>
          <w:spacing w:val="0"/>
          <w:sz w:val="32"/>
          <w:szCs w:val="32"/>
          <w:lang w:val="en-US" w:eastAsia="zh-CN"/>
          <w14:textFill>
            <w14:solidFill>
              <w14:schemeClr w14:val="tx1"/>
            </w14:solidFill>
          </w14:textFill>
        </w:rPr>
        <w:t>1267</w:t>
      </w:r>
      <w:r>
        <w:rPr>
          <w:rFonts w:hint="eastAsia" w:ascii="仿宋_GB2312" w:eastAsia="仿宋_GB2312"/>
          <w:color w:val="000000" w:themeColor="text1"/>
          <w:spacing w:val="0"/>
          <w:sz w:val="32"/>
          <w:szCs w:val="32"/>
          <w14:textFill>
            <w14:solidFill>
              <w14:schemeClr w14:val="tx1"/>
            </w14:solidFill>
          </w14:textFill>
        </w:rPr>
        <w:t>万元、地方政府专项债务</w:t>
      </w:r>
      <w:r>
        <w:rPr>
          <w:rFonts w:ascii="仿宋_GB2312" w:eastAsia="仿宋_GB2312"/>
          <w:color w:val="000000" w:themeColor="text1"/>
          <w:spacing w:val="0"/>
          <w:sz w:val="32"/>
          <w:szCs w:val="32"/>
          <w14:textFill>
            <w14:solidFill>
              <w14:schemeClr w14:val="tx1"/>
            </w14:solidFill>
          </w14:textFill>
        </w:rPr>
        <w:t>转贷</w:t>
      </w:r>
      <w:r>
        <w:rPr>
          <w:rFonts w:hint="eastAsia" w:ascii="仿宋_GB2312" w:eastAsia="仿宋_GB2312"/>
          <w:color w:val="000000" w:themeColor="text1"/>
          <w:spacing w:val="0"/>
          <w:sz w:val="32"/>
          <w:szCs w:val="32"/>
          <w14:textFill>
            <w14:solidFill>
              <w14:schemeClr w14:val="tx1"/>
            </w14:solidFill>
          </w14:textFill>
        </w:rPr>
        <w:t>收入9043</w:t>
      </w:r>
      <w:r>
        <w:rPr>
          <w:rFonts w:ascii="仿宋_GB2312" w:eastAsia="仿宋_GB2312"/>
          <w:color w:val="000000" w:themeColor="text1"/>
          <w:spacing w:val="0"/>
          <w:sz w:val="32"/>
          <w:szCs w:val="32"/>
          <w14:textFill>
            <w14:solidFill>
              <w14:schemeClr w14:val="tx1"/>
            </w14:solidFill>
          </w14:textFill>
        </w:rPr>
        <w:t>万</w:t>
      </w:r>
      <w:r>
        <w:rPr>
          <w:rFonts w:hint="eastAsia" w:ascii="仿宋_GB2312" w:eastAsia="仿宋_GB2312"/>
          <w:color w:val="000000" w:themeColor="text1"/>
          <w:spacing w:val="0"/>
          <w:sz w:val="32"/>
          <w:szCs w:val="32"/>
          <w14:textFill>
            <w14:solidFill>
              <w14:schemeClr w14:val="tx1"/>
            </w14:solidFill>
          </w14:textFill>
        </w:rPr>
        <w:t>元，超长期特别国债收入3157万元，收入总量为</w:t>
      </w:r>
      <w:r>
        <w:rPr>
          <w:rFonts w:hint="eastAsia" w:ascii="仿宋_GB2312" w:eastAsia="仿宋_GB2312"/>
          <w:color w:val="000000" w:themeColor="text1"/>
          <w:spacing w:val="0"/>
          <w:sz w:val="32"/>
          <w:szCs w:val="32"/>
          <w:lang w:val="en-US" w:eastAsia="zh-CN"/>
          <w14:textFill>
            <w14:solidFill>
              <w14:schemeClr w14:val="tx1"/>
            </w14:solidFill>
          </w14:textFill>
        </w:rPr>
        <w:t>15907</w:t>
      </w:r>
      <w:r>
        <w:rPr>
          <w:rFonts w:ascii="仿宋_GB2312" w:eastAsia="仿宋_GB2312"/>
          <w:color w:val="000000" w:themeColor="text1"/>
          <w:spacing w:val="0"/>
          <w:sz w:val="32"/>
          <w:szCs w:val="32"/>
          <w14:textFill>
            <w14:solidFill>
              <w14:schemeClr w14:val="tx1"/>
            </w14:solidFill>
          </w14:textFill>
        </w:rPr>
        <w:t>万</w:t>
      </w:r>
      <w:r>
        <w:rPr>
          <w:rFonts w:hint="eastAsia" w:ascii="仿宋_GB2312" w:eastAsia="仿宋_GB2312"/>
          <w:color w:val="000000" w:themeColor="text1"/>
          <w:spacing w:val="0"/>
          <w:sz w:val="32"/>
          <w:szCs w:val="32"/>
          <w14:textFill>
            <w14:solidFill>
              <w14:schemeClr w14:val="tx1"/>
            </w14:solidFill>
          </w14:textFill>
        </w:rPr>
        <w:t>元。</w:t>
      </w:r>
      <w:r>
        <w:rPr>
          <w:rFonts w:hint="eastAsia" w:ascii="仿宋_GB2312" w:eastAsia="仿宋_GB2312" w:cs="仿宋_GB2312"/>
          <w:color w:val="000000" w:themeColor="text1"/>
          <w:spacing w:val="0"/>
          <w:sz w:val="32"/>
          <w:szCs w:val="32"/>
          <w14:textFill>
            <w14:solidFill>
              <w14:schemeClr w14:val="tx1"/>
            </w14:solidFill>
          </w14:textFill>
        </w:rPr>
        <w:t>政府性基金支出完成</w:t>
      </w:r>
      <w:r>
        <w:rPr>
          <w:rFonts w:hint="eastAsia" w:ascii="仿宋_GB2312" w:eastAsia="仿宋_GB2312" w:cs="仿宋_GB2312"/>
          <w:color w:val="000000" w:themeColor="text1"/>
          <w:spacing w:val="0"/>
          <w:sz w:val="32"/>
          <w:szCs w:val="32"/>
          <w:lang w:val="en-US" w:eastAsia="zh-CN"/>
          <w14:textFill>
            <w14:solidFill>
              <w14:schemeClr w14:val="tx1"/>
            </w14:solidFill>
          </w14:textFill>
        </w:rPr>
        <w:t>13941</w:t>
      </w:r>
      <w:r>
        <w:rPr>
          <w:rFonts w:hint="eastAsia" w:ascii="仿宋_GB2312" w:eastAsia="仿宋_GB2312" w:cs="仿宋_GB2312"/>
          <w:color w:val="000000" w:themeColor="text1"/>
          <w:spacing w:val="0"/>
          <w:sz w:val="32"/>
          <w:szCs w:val="32"/>
          <w14:textFill>
            <w14:solidFill>
              <w14:schemeClr w14:val="tx1"/>
            </w14:solidFill>
          </w14:textFill>
        </w:rPr>
        <w:t>万元，同比增长</w:t>
      </w:r>
      <w:r>
        <w:rPr>
          <w:rFonts w:hint="eastAsia" w:ascii="仿宋_GB2312" w:eastAsia="仿宋_GB2312" w:cs="仿宋_GB2312"/>
          <w:color w:val="000000" w:themeColor="text1"/>
          <w:spacing w:val="0"/>
          <w:sz w:val="32"/>
          <w:szCs w:val="32"/>
          <w:lang w:val="en-US" w:eastAsia="zh-CN"/>
          <w14:textFill>
            <w14:solidFill>
              <w14:schemeClr w14:val="tx1"/>
            </w14:solidFill>
          </w14:textFill>
        </w:rPr>
        <w:t>67.34</w:t>
      </w:r>
      <w:r>
        <w:rPr>
          <w:rFonts w:hint="eastAsia" w:ascii="仿宋_GB2312" w:eastAsia="仿宋_GB2312" w:cs="仿宋_GB2312"/>
          <w:color w:val="000000" w:themeColor="text1"/>
          <w:spacing w:val="0"/>
          <w:sz w:val="32"/>
          <w:szCs w:val="32"/>
          <w14:textFill>
            <w14:solidFill>
              <w14:schemeClr w14:val="tx1"/>
            </w14:solidFill>
          </w14:textFill>
        </w:rPr>
        <w:t>%，加结转下年支出</w:t>
      </w:r>
      <w:r>
        <w:rPr>
          <w:rFonts w:hint="eastAsia" w:ascii="仿宋_GB2312" w:eastAsia="仿宋_GB2312" w:cs="仿宋_GB2312"/>
          <w:color w:val="000000" w:themeColor="text1"/>
          <w:spacing w:val="0"/>
          <w:sz w:val="32"/>
          <w:szCs w:val="32"/>
          <w:lang w:val="en-US" w:eastAsia="zh-CN"/>
          <w14:textFill>
            <w14:solidFill>
              <w14:schemeClr w14:val="tx1"/>
            </w14:solidFill>
          </w14:textFill>
        </w:rPr>
        <w:t>1966</w:t>
      </w:r>
      <w:r>
        <w:rPr>
          <w:rFonts w:hint="eastAsia" w:ascii="仿宋_GB2312" w:eastAsia="仿宋_GB2312" w:cs="仿宋_GB2312"/>
          <w:color w:val="000000" w:themeColor="text1"/>
          <w:spacing w:val="0"/>
          <w:sz w:val="32"/>
          <w:szCs w:val="32"/>
          <w14:textFill>
            <w14:solidFill>
              <w14:schemeClr w14:val="tx1"/>
            </w14:solidFill>
          </w14:textFill>
        </w:rPr>
        <w:t>万元，支出总量为</w:t>
      </w:r>
      <w:r>
        <w:rPr>
          <w:rFonts w:hint="eastAsia" w:ascii="仿宋_GB2312" w:eastAsia="仿宋_GB2312" w:cs="仿宋_GB2312"/>
          <w:color w:val="000000" w:themeColor="text1"/>
          <w:spacing w:val="0"/>
          <w:sz w:val="32"/>
          <w:szCs w:val="32"/>
          <w:lang w:val="en-US" w:eastAsia="zh-CN"/>
          <w14:textFill>
            <w14:solidFill>
              <w14:schemeClr w14:val="tx1"/>
            </w14:solidFill>
          </w14:textFill>
        </w:rPr>
        <w:t>15907</w:t>
      </w:r>
      <w:r>
        <w:rPr>
          <w:rFonts w:hint="eastAsia" w:ascii="仿宋_GB2312" w:eastAsia="仿宋_GB2312" w:cs="仿宋_GB2312"/>
          <w:color w:val="000000" w:themeColor="text1"/>
          <w:spacing w:val="0"/>
          <w:sz w:val="32"/>
          <w:szCs w:val="32"/>
          <w14:textFill>
            <w14:solidFill>
              <w14:schemeClr w14:val="tx1"/>
            </w14:solidFill>
          </w14:textFill>
        </w:rPr>
        <w:t>万元，收支相抵，全年实现平衡。</w:t>
      </w:r>
    </w:p>
    <w:p w14:paraId="03ADFD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b/>
          <w:bCs/>
          <w:color w:val="000000" w:themeColor="text1"/>
          <w:spacing w:val="0"/>
          <w:sz w:val="32"/>
          <w:szCs w:val="32"/>
          <w14:textFill>
            <w14:solidFill>
              <w14:schemeClr w14:val="tx1"/>
            </w14:solidFill>
          </w14:textFill>
        </w:rPr>
      </w:pPr>
      <w:r>
        <w:rPr>
          <w:rFonts w:hint="eastAsia" w:ascii="仿宋_GB2312" w:hAnsi="Times New Roman" w:eastAsia="仿宋_GB2312" w:cs="仿宋_GB2312"/>
          <w:b/>
          <w:bCs/>
          <w:color w:val="000000" w:themeColor="text1"/>
          <w:spacing w:val="0"/>
          <w:sz w:val="32"/>
          <w:szCs w:val="32"/>
          <w:lang w:val="en-US" w:eastAsia="zh-CN"/>
          <w14:textFill>
            <w14:solidFill>
              <w14:schemeClr w14:val="tx1"/>
            </w14:solidFill>
          </w14:textFill>
        </w:rPr>
        <w:t>3.</w:t>
      </w:r>
      <w:r>
        <w:rPr>
          <w:rFonts w:hint="eastAsia" w:ascii="仿宋_GB2312" w:hAnsi="Times New Roman" w:eastAsia="仿宋_GB2312" w:cs="仿宋_GB2312"/>
          <w:b/>
          <w:bCs/>
          <w:color w:val="000000" w:themeColor="text1"/>
          <w:spacing w:val="0"/>
          <w:sz w:val="32"/>
          <w:szCs w:val="32"/>
          <w14:textFill>
            <w14:solidFill>
              <w14:schemeClr w14:val="tx1"/>
            </w14:solidFill>
          </w14:textFill>
        </w:rPr>
        <w:t>国有资本经营预算执行情况。</w:t>
      </w:r>
      <w:r>
        <w:rPr>
          <w:rFonts w:hint="eastAsia" w:ascii="仿宋_GB2312" w:eastAsia="仿宋_GB2312" w:cs="仿宋_GB2312"/>
          <w:color w:val="000000" w:themeColor="text1"/>
          <w:spacing w:val="0"/>
          <w:sz w:val="32"/>
          <w:szCs w:val="32"/>
          <w14:textFill>
            <w14:solidFill>
              <w14:schemeClr w14:val="tx1"/>
            </w14:solidFill>
          </w14:textFill>
        </w:rPr>
        <w:t>截止12月底，全县国有资本经营预算收入完成26万元，加上年结转收入15万元、上级补助收入1万元，国有资本经营收入总量为42万元；国有资本经营预算支出完成1万元，结转下年支出41万元，支出总量42万元，收支相抵，全年实现平衡。</w:t>
      </w:r>
    </w:p>
    <w:p w14:paraId="0A30E1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仿宋_GB2312"/>
          <w:color w:val="000000" w:themeColor="text1"/>
          <w:spacing w:val="0"/>
          <w:sz w:val="32"/>
          <w:szCs w:val="32"/>
          <w14:textFill>
            <w14:solidFill>
              <w14:schemeClr w14:val="tx1"/>
            </w14:solidFill>
          </w14:textFill>
        </w:rPr>
      </w:pPr>
      <w:r>
        <w:rPr>
          <w:rFonts w:hint="eastAsia" w:ascii="仿宋_GB2312" w:eastAsia="仿宋_GB2312" w:cs="仿宋_GB2312"/>
          <w:b/>
          <w:bCs/>
          <w:color w:val="000000" w:themeColor="text1"/>
          <w:spacing w:val="0"/>
          <w:sz w:val="32"/>
          <w:szCs w:val="32"/>
          <w:lang w:val="en-US" w:eastAsia="zh-CN"/>
          <w14:textFill>
            <w14:solidFill>
              <w14:schemeClr w14:val="tx1"/>
            </w14:solidFill>
          </w14:textFill>
        </w:rPr>
        <w:t>4.</w:t>
      </w:r>
      <w:r>
        <w:rPr>
          <w:rFonts w:hint="eastAsia" w:ascii="仿宋_GB2312" w:eastAsia="仿宋_GB2312" w:cs="仿宋_GB2312"/>
          <w:b/>
          <w:bCs/>
          <w:color w:val="000000" w:themeColor="text1"/>
          <w:spacing w:val="0"/>
          <w:sz w:val="32"/>
          <w:szCs w:val="32"/>
          <w14:textFill>
            <w14:solidFill>
              <w14:schemeClr w14:val="tx1"/>
            </w14:solidFill>
          </w14:textFill>
        </w:rPr>
        <w:t>社会保险基金预算执行情况。</w:t>
      </w:r>
      <w:r>
        <w:rPr>
          <w:rFonts w:hint="eastAsia" w:ascii="仿宋_GB2312" w:eastAsia="仿宋_GB2312" w:cs="仿宋_GB2312"/>
          <w:color w:val="000000" w:themeColor="text1"/>
          <w:spacing w:val="0"/>
          <w:sz w:val="32"/>
          <w:szCs w:val="32"/>
          <w14:textFill>
            <w14:solidFill>
              <w14:schemeClr w14:val="tx1"/>
            </w14:solidFill>
          </w14:textFill>
        </w:rPr>
        <w:t>截止12月底，全县社会保险基金收入完成1612</w:t>
      </w:r>
      <w:r>
        <w:rPr>
          <w:rFonts w:hint="eastAsia" w:ascii="仿宋_GB2312" w:eastAsia="仿宋_GB2312" w:cs="仿宋_GB2312"/>
          <w:color w:val="000000" w:themeColor="text1"/>
          <w:spacing w:val="0"/>
          <w:sz w:val="32"/>
          <w:szCs w:val="32"/>
          <w:lang w:val="en-US" w:eastAsia="zh-CN"/>
          <w14:textFill>
            <w14:solidFill>
              <w14:schemeClr w14:val="tx1"/>
            </w14:solidFill>
          </w14:textFill>
        </w:rPr>
        <w:t>1</w:t>
      </w:r>
      <w:r>
        <w:rPr>
          <w:rFonts w:hint="eastAsia" w:ascii="仿宋_GB2312" w:eastAsia="仿宋_GB2312" w:cs="仿宋_GB2312"/>
          <w:color w:val="000000" w:themeColor="text1"/>
          <w:spacing w:val="0"/>
          <w:sz w:val="32"/>
          <w:szCs w:val="32"/>
          <w14:textFill>
            <w14:solidFill>
              <w14:schemeClr w14:val="tx1"/>
            </w14:solidFill>
          </w14:textFill>
        </w:rPr>
        <w:t>万元，同比增长12.44%；社会保险基金支出完成1633</w:t>
      </w:r>
      <w:r>
        <w:rPr>
          <w:rFonts w:hint="eastAsia" w:ascii="仿宋_GB2312" w:eastAsia="仿宋_GB2312" w:cs="仿宋_GB2312"/>
          <w:color w:val="000000" w:themeColor="text1"/>
          <w:spacing w:val="0"/>
          <w:sz w:val="32"/>
          <w:szCs w:val="32"/>
          <w:lang w:val="en-US" w:eastAsia="zh-CN"/>
          <w14:textFill>
            <w14:solidFill>
              <w14:schemeClr w14:val="tx1"/>
            </w14:solidFill>
          </w14:textFill>
        </w:rPr>
        <w:t>2</w:t>
      </w:r>
      <w:r>
        <w:rPr>
          <w:rFonts w:hint="eastAsia" w:ascii="仿宋_GB2312" w:eastAsia="仿宋_GB2312" w:cs="仿宋_GB2312"/>
          <w:color w:val="000000" w:themeColor="text1"/>
          <w:spacing w:val="0"/>
          <w:sz w:val="32"/>
          <w:szCs w:val="32"/>
          <w14:textFill>
            <w14:solidFill>
              <w14:schemeClr w14:val="tx1"/>
            </w14:solidFill>
          </w14:textFill>
        </w:rPr>
        <w:t>万元，同比增长11.03%。</w:t>
      </w:r>
      <w:r>
        <w:rPr>
          <w:rFonts w:hint="eastAsia" w:ascii="仿宋_GB2312" w:eastAsia="仿宋_GB2312" w:cs="Times New Roman"/>
          <w:color w:val="000000" w:themeColor="text1"/>
          <w:spacing w:val="0"/>
          <w:sz w:val="32"/>
          <w:szCs w:val="32"/>
          <w14:textFill>
            <w14:solidFill>
              <w14:schemeClr w14:val="tx1"/>
            </w14:solidFill>
          </w14:textFill>
        </w:rPr>
        <w:t>社保基金预算收支相抵后，本年度结余-21</w:t>
      </w:r>
      <w:r>
        <w:rPr>
          <w:rFonts w:hint="eastAsia" w:ascii="仿宋_GB2312" w:eastAsia="仿宋_GB2312" w:cs="Times New Roman"/>
          <w:color w:val="000000" w:themeColor="text1"/>
          <w:spacing w:val="0"/>
          <w:sz w:val="32"/>
          <w:szCs w:val="32"/>
          <w:lang w:val="en-US" w:eastAsia="zh-CN"/>
          <w14:textFill>
            <w14:solidFill>
              <w14:schemeClr w14:val="tx1"/>
            </w14:solidFill>
          </w14:textFill>
        </w:rPr>
        <w:t>1</w:t>
      </w:r>
      <w:r>
        <w:rPr>
          <w:rFonts w:hint="eastAsia" w:ascii="仿宋_GB2312" w:eastAsia="仿宋_GB2312" w:cs="Times New Roman"/>
          <w:color w:val="000000" w:themeColor="text1"/>
          <w:spacing w:val="0"/>
          <w:sz w:val="32"/>
          <w:szCs w:val="32"/>
          <w14:textFill>
            <w14:solidFill>
              <w14:schemeClr w14:val="tx1"/>
            </w14:solidFill>
          </w14:textFill>
        </w:rPr>
        <w:t>万元，加2024年年末滚存结余3050万元，2025年年末滚存结余2839万元。</w:t>
      </w:r>
    </w:p>
    <w:p w14:paraId="085CD0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_GB2312" w:eastAsia="楷体_GB2312" w:cs="楷体_GB2312"/>
          <w:b/>
          <w:bCs/>
          <w:color w:val="000000" w:themeColor="text1"/>
          <w:spacing w:val="0"/>
          <w:sz w:val="32"/>
          <w:szCs w:val="32"/>
          <w14:textFill>
            <w14:solidFill>
              <w14:schemeClr w14:val="tx1"/>
            </w14:solidFill>
          </w14:textFill>
        </w:rPr>
      </w:pPr>
      <w:r>
        <w:rPr>
          <w:rFonts w:hint="eastAsia" w:ascii="楷体_GB2312" w:eastAsia="楷体_GB2312" w:cs="楷体_GB2312"/>
          <w:b/>
          <w:bCs/>
          <w:color w:val="000000" w:themeColor="text1"/>
          <w:spacing w:val="0"/>
          <w:sz w:val="32"/>
          <w:szCs w:val="32"/>
          <w14:textFill>
            <w14:solidFill>
              <w14:schemeClr w14:val="tx1"/>
            </w14:solidFill>
          </w14:textFill>
        </w:rPr>
        <w:t>（二）2025年财政重点工作完成情况</w:t>
      </w:r>
    </w:p>
    <w:p w14:paraId="6BA611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仿宋_GB2312"/>
          <w:bCs/>
          <w:color w:val="000000" w:themeColor="text1"/>
          <w:spacing w:val="0"/>
          <w:sz w:val="32"/>
          <w:szCs w:val="32"/>
          <w14:textFill>
            <w14:solidFill>
              <w14:schemeClr w14:val="tx1"/>
            </w14:solidFill>
          </w14:textFill>
        </w:rPr>
      </w:pPr>
      <w:r>
        <w:rPr>
          <w:rFonts w:hint="eastAsia" w:ascii="楷体_GB2312" w:eastAsia="楷体_GB2312" w:cs="楷体_GB2312"/>
          <w:b/>
          <w:bCs/>
          <w:color w:val="000000" w:themeColor="text1"/>
          <w:spacing w:val="0"/>
          <w:sz w:val="32"/>
          <w:szCs w:val="32"/>
          <w14:textFill>
            <w14:solidFill>
              <w14:schemeClr w14:val="tx1"/>
            </w14:solidFill>
          </w14:textFill>
        </w:rPr>
        <w:t>1.聚力“增收节支”，财政保障能力持续增强。</w:t>
      </w:r>
      <w:r>
        <w:rPr>
          <w:rFonts w:hint="eastAsia" w:ascii="仿宋_GB2312" w:eastAsia="仿宋_GB2312" w:cs="仿宋_GB2312"/>
          <w:b/>
          <w:color w:val="000000" w:themeColor="text1"/>
          <w:spacing w:val="0"/>
          <w:sz w:val="32"/>
          <w:szCs w:val="32"/>
          <w14:textFill>
            <w14:solidFill>
              <w14:schemeClr w14:val="tx1"/>
            </w14:solidFill>
          </w14:textFill>
        </w:rPr>
        <w:t>一是依法依规组织财政收入。</w:t>
      </w:r>
      <w:r>
        <w:rPr>
          <w:rFonts w:hint="eastAsia" w:ascii="仿宋_GB2312" w:eastAsia="仿宋_GB2312" w:cs="仿宋_GB2312"/>
          <w:bCs/>
          <w:color w:val="000000" w:themeColor="text1"/>
          <w:spacing w:val="0"/>
          <w:sz w:val="32"/>
          <w:szCs w:val="32"/>
          <w14:textFill>
            <w14:solidFill>
              <w14:schemeClr w14:val="tx1"/>
            </w14:solidFill>
          </w14:textFill>
        </w:rPr>
        <w:t>紧盯全年收入目标任务，全力推进综合治税工作，持续优化涉税信息共享，充分发挥“以数治税”潜力，密切关注各项减收因素对财税收入的影响，强化对重点领域、重点行业、重点企业税源监控，加强欠税清缴和零散税收征缴，堵塞税收漏洞，做到颗粒归仓。全年完成地方税收收入20896万元，税收占比达57.5%，较上年提高6.86个百分点。</w:t>
      </w:r>
      <w:r>
        <w:rPr>
          <w:rFonts w:hint="eastAsia" w:ascii="仿宋_GB2312" w:eastAsia="仿宋_GB2312" w:cs="仿宋_GB2312"/>
          <w:b/>
          <w:color w:val="000000" w:themeColor="text1"/>
          <w:spacing w:val="0"/>
          <w:sz w:val="32"/>
          <w:szCs w:val="32"/>
          <w14:textFill>
            <w14:solidFill>
              <w14:schemeClr w14:val="tx1"/>
            </w14:solidFill>
          </w14:textFill>
        </w:rPr>
        <w:t>二是群策群力争取上级支持。</w:t>
      </w:r>
      <w:r>
        <w:rPr>
          <w:rFonts w:hint="eastAsia" w:ascii="仿宋_GB2312" w:eastAsia="仿宋_GB2312" w:cs="仿宋_GB2312"/>
          <w:bCs/>
          <w:color w:val="000000" w:themeColor="text1"/>
          <w:spacing w:val="0"/>
          <w:sz w:val="32"/>
          <w:szCs w:val="32"/>
          <w14:textFill>
            <w14:solidFill>
              <w14:schemeClr w14:val="tx1"/>
            </w14:solidFill>
          </w14:textFill>
        </w:rPr>
        <w:t>积极发挥引资主渠道作用，制定资金争取操作指南，明确专项资金争取方向与目标，协调配合各项目单位，全力开展上级补助、政府债券等资金的争取工作。全年争取各类资金</w:t>
      </w:r>
      <w:r>
        <w:rPr>
          <w:rFonts w:hint="eastAsia" w:ascii="仿宋_GB2312" w:eastAsia="仿宋_GB2312" w:cs="仿宋_GB2312"/>
          <w:bCs/>
          <w:color w:val="000000" w:themeColor="text1"/>
          <w:spacing w:val="0"/>
          <w:sz w:val="32"/>
          <w:szCs w:val="32"/>
          <w:lang w:val="en-US" w:eastAsia="zh-CN"/>
          <w14:textFill>
            <w14:solidFill>
              <w14:schemeClr w14:val="tx1"/>
            </w14:solidFill>
          </w14:textFill>
        </w:rPr>
        <w:t>190929</w:t>
      </w:r>
      <w:r>
        <w:rPr>
          <w:rFonts w:hint="eastAsia" w:ascii="仿宋_GB2312" w:eastAsia="仿宋_GB2312" w:cs="仿宋_GB2312"/>
          <w:bCs/>
          <w:color w:val="000000" w:themeColor="text1"/>
          <w:spacing w:val="0"/>
          <w:sz w:val="32"/>
          <w:szCs w:val="32"/>
          <w14:textFill>
            <w14:solidFill>
              <w14:schemeClr w14:val="tx1"/>
            </w14:solidFill>
          </w14:textFill>
        </w:rPr>
        <w:t>万元，其中，一般转移支付</w:t>
      </w:r>
      <w:r>
        <w:rPr>
          <w:rFonts w:hint="eastAsia" w:ascii="仿宋_GB2312" w:eastAsia="仿宋_GB2312" w:cs="仿宋_GB2312"/>
          <w:bCs/>
          <w:color w:val="000000" w:themeColor="text1"/>
          <w:spacing w:val="0"/>
          <w:sz w:val="32"/>
          <w:szCs w:val="32"/>
          <w:lang w:val="en-US" w:eastAsia="zh-CN"/>
          <w14:textFill>
            <w14:solidFill>
              <w14:schemeClr w14:val="tx1"/>
            </w14:solidFill>
          </w14:textFill>
        </w:rPr>
        <w:t>146821</w:t>
      </w:r>
      <w:r>
        <w:rPr>
          <w:rFonts w:hint="eastAsia" w:ascii="仿宋_GB2312" w:eastAsia="仿宋_GB2312" w:cs="仿宋_GB2312"/>
          <w:bCs/>
          <w:color w:val="000000" w:themeColor="text1"/>
          <w:spacing w:val="0"/>
          <w:sz w:val="32"/>
          <w:szCs w:val="32"/>
          <w14:textFill>
            <w14:solidFill>
              <w14:schemeClr w14:val="tx1"/>
            </w14:solidFill>
          </w14:textFill>
        </w:rPr>
        <w:t>万元、一般债券</w:t>
      </w:r>
      <w:r>
        <w:rPr>
          <w:rFonts w:hint="eastAsia" w:ascii="仿宋_GB2312" w:eastAsia="仿宋_GB2312" w:cs="仿宋_GB2312"/>
          <w:bCs/>
          <w:color w:val="000000" w:themeColor="text1"/>
          <w:spacing w:val="0"/>
          <w:sz w:val="32"/>
          <w:szCs w:val="32"/>
          <w:lang w:val="en-US" w:eastAsia="zh-CN"/>
          <w14:textFill>
            <w14:solidFill>
              <w14:schemeClr w14:val="tx1"/>
            </w14:solidFill>
          </w14:textFill>
        </w:rPr>
        <w:t>10923</w:t>
      </w:r>
      <w:r>
        <w:rPr>
          <w:rFonts w:hint="eastAsia" w:ascii="仿宋_GB2312" w:eastAsia="仿宋_GB2312" w:cs="仿宋_GB2312"/>
          <w:bCs/>
          <w:color w:val="000000" w:themeColor="text1"/>
          <w:spacing w:val="0"/>
          <w:sz w:val="32"/>
          <w:szCs w:val="32"/>
          <w14:textFill>
            <w14:solidFill>
              <w14:schemeClr w14:val="tx1"/>
            </w14:solidFill>
          </w14:textFill>
        </w:rPr>
        <w:t>万元</w:t>
      </w:r>
      <w:r>
        <w:rPr>
          <w:rFonts w:hint="eastAsia" w:ascii="仿宋_GB2312" w:eastAsia="仿宋_GB2312" w:cs="仿宋_GB2312"/>
          <w:bCs/>
          <w:color w:val="000000" w:themeColor="text1"/>
          <w:spacing w:val="0"/>
          <w:sz w:val="32"/>
          <w:szCs w:val="32"/>
          <w:lang w:val="en-US" w:eastAsia="zh-CN"/>
          <w14:textFill>
            <w14:solidFill>
              <w14:schemeClr w14:val="tx1"/>
            </w14:solidFill>
          </w14:textFill>
        </w:rPr>
        <w:t>（包括再融资债券750万元、世界银行贷款2071万元）</w:t>
      </w:r>
      <w:r>
        <w:rPr>
          <w:rFonts w:hint="eastAsia" w:ascii="仿宋_GB2312" w:eastAsia="仿宋_GB2312" w:cs="仿宋_GB2312"/>
          <w:bCs/>
          <w:color w:val="000000" w:themeColor="text1"/>
          <w:spacing w:val="0"/>
          <w:sz w:val="32"/>
          <w:szCs w:val="32"/>
          <w14:textFill>
            <w14:solidFill>
              <w14:schemeClr w14:val="tx1"/>
            </w14:solidFill>
          </w14:textFill>
        </w:rPr>
        <w:t>、专项债券9043万元、超长期特别国债3157万元，有效缓解县域财政支出压力。</w:t>
      </w:r>
      <w:r>
        <w:rPr>
          <w:rFonts w:hint="eastAsia" w:ascii="仿宋_GB2312" w:eastAsia="仿宋_GB2312" w:cs="仿宋_GB2312"/>
          <w:b/>
          <w:color w:val="000000" w:themeColor="text1"/>
          <w:spacing w:val="0"/>
          <w:sz w:val="32"/>
          <w:szCs w:val="32"/>
          <w14:textFill>
            <w14:solidFill>
              <w14:schemeClr w14:val="tx1"/>
            </w14:solidFill>
          </w14:textFill>
        </w:rPr>
        <w:t>三是精准精细盘活统筹资金。</w:t>
      </w:r>
      <w:r>
        <w:rPr>
          <w:rFonts w:hint="eastAsia" w:ascii="仿宋_GB2312" w:eastAsia="仿宋_GB2312" w:cs="仿宋_GB2312"/>
          <w:bCs/>
          <w:color w:val="000000" w:themeColor="text1"/>
          <w:spacing w:val="0"/>
          <w:sz w:val="32"/>
          <w:szCs w:val="32"/>
          <w14:textFill>
            <w14:solidFill>
              <w14:schemeClr w14:val="tx1"/>
            </w14:solidFill>
          </w14:textFill>
        </w:rPr>
        <w:t>严格落实“过紧日子”要求，进一步压缩一般性支出，降低行政运行成本，“三公”经费支出</w:t>
      </w:r>
      <w:r>
        <w:rPr>
          <w:rFonts w:hint="eastAsia" w:ascii="仿宋_GB2312" w:eastAsia="仿宋_GB2312" w:cs="仿宋_GB2312"/>
          <w:bCs/>
          <w:color w:val="000000" w:themeColor="text1"/>
          <w:spacing w:val="0"/>
          <w:sz w:val="32"/>
          <w:szCs w:val="32"/>
          <w:lang w:val="en-US" w:eastAsia="zh-CN"/>
          <w14:textFill>
            <w14:solidFill>
              <w14:schemeClr w14:val="tx1"/>
            </w14:solidFill>
          </w14:textFill>
        </w:rPr>
        <w:t>631</w:t>
      </w:r>
      <w:r>
        <w:rPr>
          <w:rFonts w:hint="eastAsia" w:ascii="仿宋_GB2312" w:eastAsia="仿宋_GB2312" w:cs="仿宋_GB2312"/>
          <w:bCs/>
          <w:color w:val="000000" w:themeColor="text1"/>
          <w:spacing w:val="0"/>
          <w:sz w:val="32"/>
          <w:szCs w:val="32"/>
          <w14:textFill>
            <w14:solidFill>
              <w14:schemeClr w14:val="tx1"/>
            </w14:solidFill>
          </w14:textFill>
        </w:rPr>
        <w:t>.97万元，较上年下降</w:t>
      </w:r>
      <w:r>
        <w:rPr>
          <w:rFonts w:hint="eastAsia" w:ascii="仿宋_GB2312" w:eastAsia="仿宋_GB2312" w:cs="仿宋_GB2312"/>
          <w:bCs/>
          <w:color w:val="000000" w:themeColor="text1"/>
          <w:spacing w:val="0"/>
          <w:sz w:val="32"/>
          <w:szCs w:val="32"/>
          <w:lang w:val="en-US" w:eastAsia="zh-CN"/>
          <w14:textFill>
            <w14:solidFill>
              <w14:schemeClr w14:val="tx1"/>
            </w14:solidFill>
          </w14:textFill>
        </w:rPr>
        <w:t>6.69</w:t>
      </w:r>
      <w:r>
        <w:rPr>
          <w:rFonts w:hint="eastAsia" w:ascii="仿宋_GB2312" w:eastAsia="仿宋_GB2312" w:cs="仿宋_GB2312"/>
          <w:bCs/>
          <w:color w:val="000000" w:themeColor="text1"/>
          <w:spacing w:val="0"/>
          <w:sz w:val="32"/>
          <w:szCs w:val="32"/>
          <w14:textFill>
            <w14:solidFill>
              <w14:schemeClr w14:val="tx1"/>
            </w14:solidFill>
          </w14:textFill>
        </w:rPr>
        <w:t>%；加强财政资金动态监控，清理盘活存量资金42</w:t>
      </w:r>
      <w:r>
        <w:rPr>
          <w:rFonts w:hint="eastAsia" w:ascii="仿宋_GB2312" w:eastAsia="仿宋_GB2312" w:cs="仿宋_GB2312"/>
          <w:bCs/>
          <w:color w:val="000000" w:themeColor="text1"/>
          <w:spacing w:val="0"/>
          <w:sz w:val="32"/>
          <w:szCs w:val="32"/>
          <w:lang w:val="en-US" w:eastAsia="zh-CN"/>
          <w14:textFill>
            <w14:solidFill>
              <w14:schemeClr w14:val="tx1"/>
            </w14:solidFill>
          </w14:textFill>
        </w:rPr>
        <w:t>2</w:t>
      </w:r>
      <w:r>
        <w:rPr>
          <w:rFonts w:hint="eastAsia" w:ascii="仿宋_GB2312" w:eastAsia="仿宋_GB2312" w:cs="仿宋_GB2312"/>
          <w:bCs/>
          <w:color w:val="000000" w:themeColor="text1"/>
          <w:spacing w:val="0"/>
          <w:sz w:val="32"/>
          <w:szCs w:val="32"/>
          <w14:textFill>
            <w14:solidFill>
              <w14:schemeClr w14:val="tx1"/>
            </w14:solidFill>
          </w14:textFill>
        </w:rPr>
        <w:t>万元，统筹用于乡村振兴、基础设施建设等重点领域，进一步弥补了公共预算财力缺口，切实增强了财政保障能力。</w:t>
      </w:r>
    </w:p>
    <w:p w14:paraId="5CE854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仿宋_GB2312"/>
          <w:bCs/>
          <w:color w:val="000000" w:themeColor="text1"/>
          <w:spacing w:val="0"/>
          <w:sz w:val="32"/>
          <w:szCs w:val="32"/>
          <w14:textFill>
            <w14:solidFill>
              <w14:schemeClr w14:val="tx1"/>
            </w14:solidFill>
          </w14:textFill>
        </w:rPr>
      </w:pPr>
      <w:r>
        <w:rPr>
          <w:rFonts w:hint="eastAsia" w:ascii="楷体_GB2312" w:eastAsia="楷体_GB2312" w:cs="楷体_GB2312"/>
          <w:b/>
          <w:bCs/>
          <w:color w:val="000000" w:themeColor="text1"/>
          <w:spacing w:val="0"/>
          <w:sz w:val="32"/>
          <w:szCs w:val="32"/>
          <w14:textFill>
            <w14:solidFill>
              <w14:schemeClr w14:val="tx1"/>
            </w14:solidFill>
          </w14:textFill>
        </w:rPr>
        <w:t>2.聚焦“民生福祉”，社会事业保障坚实有力。</w:t>
      </w:r>
      <w:r>
        <w:rPr>
          <w:rFonts w:hint="eastAsia" w:ascii="仿宋_GB2312" w:eastAsia="仿宋_GB2312" w:cs="仿宋_GB2312"/>
          <w:b/>
          <w:color w:val="000000" w:themeColor="text1"/>
          <w:spacing w:val="0"/>
          <w:sz w:val="32"/>
          <w:szCs w:val="32"/>
          <w14:textFill>
            <w14:solidFill>
              <w14:schemeClr w14:val="tx1"/>
            </w14:solidFill>
          </w14:textFill>
        </w:rPr>
        <w:t>一是重点领域投入加码。</w:t>
      </w:r>
      <w:r>
        <w:rPr>
          <w:rFonts w:hint="eastAsia" w:ascii="仿宋_GB2312" w:eastAsia="仿宋_GB2312" w:cs="仿宋_GB2312"/>
          <w:bCs/>
          <w:color w:val="000000" w:themeColor="text1"/>
          <w:spacing w:val="0"/>
          <w:sz w:val="32"/>
          <w:szCs w:val="32"/>
          <w14:textFill>
            <w14:solidFill>
              <w14:schemeClr w14:val="tx1"/>
            </w14:solidFill>
          </w14:textFill>
        </w:rPr>
        <w:t>严格落实“两个只增不减”要求，完成教育支出13915万元，重点保障学校信息化升级、教师队伍培训、贫困生资助及基础设施建设等工作，实现义务教育阶段“十个全覆盖”；科技支出</w:t>
      </w:r>
      <w:r>
        <w:rPr>
          <w:rFonts w:hint="eastAsia" w:ascii="仿宋_GB2312" w:eastAsia="仿宋_GB2312" w:cs="仿宋_GB2312"/>
          <w:bCs/>
          <w:color w:val="000000" w:themeColor="text1"/>
          <w:spacing w:val="0"/>
          <w:sz w:val="32"/>
          <w:szCs w:val="32"/>
          <w:lang w:val="en-US" w:eastAsia="zh-CN"/>
          <w14:textFill>
            <w14:solidFill>
              <w14:schemeClr w14:val="tx1"/>
            </w14:solidFill>
          </w14:textFill>
        </w:rPr>
        <w:t>2238</w:t>
      </w:r>
      <w:r>
        <w:rPr>
          <w:rFonts w:hint="eastAsia" w:ascii="仿宋_GB2312" w:eastAsia="仿宋_GB2312" w:cs="仿宋_GB2312"/>
          <w:bCs/>
          <w:color w:val="000000" w:themeColor="text1"/>
          <w:spacing w:val="0"/>
          <w:sz w:val="32"/>
          <w:szCs w:val="32"/>
          <w14:textFill>
            <w14:solidFill>
              <w14:schemeClr w14:val="tx1"/>
            </w14:solidFill>
          </w14:textFill>
        </w:rPr>
        <w:t>万元，重点支持农牧业科技攻关项目，助力产业提质增效；卫生健康支出</w:t>
      </w:r>
      <w:r>
        <w:rPr>
          <w:rFonts w:hint="eastAsia" w:ascii="仿宋_GB2312" w:eastAsia="仿宋_GB2312" w:cs="仿宋_GB2312"/>
          <w:bCs/>
          <w:color w:val="000000" w:themeColor="text1"/>
          <w:spacing w:val="0"/>
          <w:sz w:val="32"/>
          <w:szCs w:val="32"/>
          <w:lang w:val="en-US" w:eastAsia="zh-CN"/>
          <w14:textFill>
            <w14:solidFill>
              <w14:schemeClr w14:val="tx1"/>
            </w14:solidFill>
          </w14:textFill>
        </w:rPr>
        <w:t>14055</w:t>
      </w:r>
      <w:r>
        <w:rPr>
          <w:rFonts w:hint="eastAsia" w:ascii="仿宋_GB2312" w:eastAsia="仿宋_GB2312" w:cs="仿宋_GB2312"/>
          <w:bCs/>
          <w:color w:val="000000" w:themeColor="text1"/>
          <w:spacing w:val="0"/>
          <w:sz w:val="32"/>
          <w:szCs w:val="32"/>
          <w14:textFill>
            <w14:solidFill>
              <w14:schemeClr w14:val="tx1"/>
            </w14:solidFill>
          </w14:textFill>
        </w:rPr>
        <w:t>万元，持续推进医疗服务体系优化，提升公共卫生服务保障水平。</w:t>
      </w:r>
      <w:r>
        <w:rPr>
          <w:rFonts w:hint="eastAsia" w:ascii="仿宋_GB2312" w:eastAsia="仿宋_GB2312" w:cs="仿宋_GB2312"/>
          <w:b/>
          <w:color w:val="000000" w:themeColor="text1"/>
          <w:spacing w:val="0"/>
          <w:sz w:val="32"/>
          <w:szCs w:val="32"/>
          <w14:textFill>
            <w14:solidFill>
              <w14:schemeClr w14:val="tx1"/>
            </w14:solidFill>
          </w14:textFill>
        </w:rPr>
        <w:t>二是乡村振兴财力倾斜。</w:t>
      </w:r>
      <w:r>
        <w:rPr>
          <w:rFonts w:hint="eastAsia" w:ascii="仿宋_GB2312" w:eastAsia="仿宋_GB2312" w:cs="仿宋_GB2312"/>
          <w:bCs/>
          <w:color w:val="000000" w:themeColor="text1"/>
          <w:spacing w:val="0"/>
          <w:sz w:val="32"/>
          <w:szCs w:val="32"/>
          <w14:textFill>
            <w14:solidFill>
              <w14:schemeClr w14:val="tx1"/>
            </w14:solidFill>
          </w14:textFill>
        </w:rPr>
        <w:t>实现农林水总支出</w:t>
      </w:r>
      <w:r>
        <w:rPr>
          <w:rFonts w:hint="eastAsia" w:ascii="仿宋_GB2312" w:eastAsia="仿宋_GB2312" w:cs="仿宋_GB2312"/>
          <w:bCs/>
          <w:color w:val="000000" w:themeColor="text1"/>
          <w:spacing w:val="0"/>
          <w:sz w:val="32"/>
          <w:szCs w:val="32"/>
          <w:lang w:val="en-US" w:eastAsia="zh-CN"/>
          <w14:textFill>
            <w14:solidFill>
              <w14:schemeClr w14:val="tx1"/>
            </w14:solidFill>
          </w14:textFill>
        </w:rPr>
        <w:t>65934</w:t>
      </w:r>
      <w:r>
        <w:rPr>
          <w:rFonts w:hint="eastAsia" w:ascii="仿宋_GB2312" w:eastAsia="仿宋_GB2312" w:cs="仿宋_GB2312"/>
          <w:bCs/>
          <w:color w:val="000000" w:themeColor="text1"/>
          <w:spacing w:val="0"/>
          <w:sz w:val="32"/>
          <w:szCs w:val="32"/>
          <w14:textFill>
            <w14:solidFill>
              <w14:schemeClr w14:val="tx1"/>
            </w14:solidFill>
          </w14:textFill>
        </w:rPr>
        <w:t>万元，</w:t>
      </w:r>
      <w:r>
        <w:rPr>
          <w:rFonts w:hint="eastAsia" w:ascii="仿宋_GB2312" w:eastAsia="仿宋_GB2312" w:cs="仿宋_GB2312"/>
          <w:bCs/>
          <w:color w:val="000000" w:themeColor="text1"/>
          <w:spacing w:val="0"/>
          <w:sz w:val="32"/>
          <w:szCs w:val="32"/>
          <w:lang w:val="en-US" w:eastAsia="zh-CN"/>
          <w14:textFill>
            <w14:solidFill>
              <w14:schemeClr w14:val="tx1"/>
            </w14:solidFill>
          </w14:textFill>
        </w:rPr>
        <w:t>及时</w:t>
      </w:r>
      <w:r>
        <w:rPr>
          <w:rFonts w:hint="eastAsia" w:ascii="仿宋_GB2312" w:eastAsia="仿宋_GB2312" w:cs="仿宋_GB2312"/>
          <w:bCs/>
          <w:color w:val="000000" w:themeColor="text1"/>
          <w:spacing w:val="0"/>
          <w:sz w:val="32"/>
          <w:szCs w:val="32"/>
          <w14:textFill>
            <w14:solidFill>
              <w14:schemeClr w14:val="tx1"/>
            </w14:solidFill>
          </w14:textFill>
        </w:rPr>
        <w:t>分配中央财政衔接资金9341万元，在推进实施乡村振兴战略、加大“三农”投入、加快现代农业基础设施建设方面持续发力；大力推进惠民惠农资金补贴政策落地落实，累计发放补贴3.86亿元、覆盖12.89万人次，民生红包“应发尽发、应享尽享”。</w:t>
      </w:r>
      <w:r>
        <w:rPr>
          <w:rFonts w:hint="eastAsia" w:ascii="仿宋_GB2312" w:eastAsia="仿宋_GB2312" w:cs="仿宋_GB2312"/>
          <w:b/>
          <w:color w:val="000000" w:themeColor="text1"/>
          <w:spacing w:val="0"/>
          <w:sz w:val="32"/>
          <w:szCs w:val="32"/>
          <w14:textFill>
            <w14:solidFill>
              <w14:schemeClr w14:val="tx1"/>
            </w14:solidFill>
          </w14:textFill>
        </w:rPr>
        <w:t>三是社会保障兜底加固。</w:t>
      </w:r>
      <w:r>
        <w:rPr>
          <w:rFonts w:hint="eastAsia" w:ascii="仿宋_GB2312" w:eastAsia="仿宋_GB2312" w:cs="仿宋_GB2312"/>
          <w:bCs/>
          <w:color w:val="000000" w:themeColor="text1"/>
          <w:spacing w:val="0"/>
          <w:sz w:val="32"/>
          <w:szCs w:val="32"/>
          <w14:textFill>
            <w14:solidFill>
              <w14:schemeClr w14:val="tx1"/>
            </w14:solidFill>
          </w14:textFill>
        </w:rPr>
        <w:t>落实社会救助政策，拨付资金3935万元，足额兑现城乡低保、优抚、残疾人、</w:t>
      </w:r>
      <w:r>
        <w:rPr>
          <w:rFonts w:hint="eastAsia" w:ascii="仿宋_GB2312" w:eastAsia="仿宋_GB2312" w:cs="仿宋_GB2312"/>
          <w:bCs/>
          <w:color w:val="000000" w:themeColor="text1"/>
          <w:spacing w:val="0"/>
          <w:sz w:val="32"/>
          <w:szCs w:val="32"/>
          <w:lang w:val="en-US" w:eastAsia="zh-CN"/>
          <w14:textFill>
            <w14:solidFill>
              <w14:schemeClr w14:val="tx1"/>
            </w14:solidFill>
          </w14:textFill>
        </w:rPr>
        <w:t>特困</w:t>
      </w:r>
      <w:r>
        <w:rPr>
          <w:rFonts w:hint="eastAsia" w:ascii="仿宋_GB2312" w:eastAsia="仿宋_GB2312" w:cs="仿宋_GB2312"/>
          <w:bCs/>
          <w:color w:val="000000" w:themeColor="text1"/>
          <w:spacing w:val="0"/>
          <w:sz w:val="32"/>
          <w:szCs w:val="32"/>
          <w14:textFill>
            <w14:solidFill>
              <w14:schemeClr w14:val="tx1"/>
            </w14:solidFill>
          </w14:textFill>
        </w:rPr>
        <w:t>供养、临时救助等各类救助资金；社会保险待遇支出15639.27万元，城乡居民基础养老金、退休人员基本养老金等待遇标准提升；紧扣稳岗扩就业要求，筹措再就业资金984万元，落实强化创业就业帮扶、职业技能培训。住房保障支出763.58万元，推进城镇租赁住房改造，持续筑牢民生安居防线。</w:t>
      </w:r>
    </w:p>
    <w:p w14:paraId="57F898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仿宋_GB2312"/>
          <w:bCs/>
          <w:color w:val="000000" w:themeColor="text1"/>
          <w:spacing w:val="0"/>
          <w:sz w:val="32"/>
          <w:szCs w:val="32"/>
          <w14:textFill>
            <w14:solidFill>
              <w14:schemeClr w14:val="tx1"/>
            </w14:solidFill>
          </w14:textFill>
        </w:rPr>
      </w:pPr>
      <w:r>
        <w:rPr>
          <w:rFonts w:hint="eastAsia" w:ascii="楷体_GB2312" w:eastAsia="楷体_GB2312" w:cs="楷体_GB2312"/>
          <w:b/>
          <w:bCs/>
          <w:color w:val="000000" w:themeColor="text1"/>
          <w:spacing w:val="0"/>
          <w:sz w:val="32"/>
          <w:szCs w:val="32"/>
          <w14:textFill>
            <w14:solidFill>
              <w14:schemeClr w14:val="tx1"/>
            </w14:solidFill>
          </w14:textFill>
        </w:rPr>
        <w:t>3.助力“经济转型”，发展动能不断集聚。</w:t>
      </w:r>
      <w:r>
        <w:rPr>
          <w:rFonts w:hint="eastAsia" w:ascii="仿宋_GB2312" w:eastAsia="仿宋_GB2312" w:cs="仿宋_GB2312"/>
          <w:b/>
          <w:color w:val="000000" w:themeColor="text1"/>
          <w:spacing w:val="0"/>
          <w:sz w:val="32"/>
          <w:szCs w:val="32"/>
          <w14:textFill>
            <w14:solidFill>
              <w14:schemeClr w14:val="tx1"/>
            </w14:solidFill>
          </w14:textFill>
        </w:rPr>
        <w:t>一是</w:t>
      </w:r>
      <w:bookmarkStart w:id="1" w:name="OLE_LINK4"/>
      <w:r>
        <w:rPr>
          <w:rFonts w:hint="eastAsia" w:ascii="仿宋_GB2312" w:eastAsia="仿宋_GB2312" w:cs="仿宋_GB2312"/>
          <w:b/>
          <w:color w:val="000000" w:themeColor="text1"/>
          <w:spacing w:val="0"/>
          <w:sz w:val="32"/>
          <w:szCs w:val="32"/>
          <w14:textFill>
            <w14:solidFill>
              <w14:schemeClr w14:val="tx1"/>
            </w14:solidFill>
          </w14:textFill>
        </w:rPr>
        <w:t>金融赋能实体经济</w:t>
      </w:r>
      <w:bookmarkEnd w:id="1"/>
      <w:r>
        <w:rPr>
          <w:rFonts w:hint="eastAsia" w:ascii="仿宋_GB2312" w:eastAsia="仿宋_GB2312" w:cs="仿宋_GB2312"/>
          <w:b/>
          <w:color w:val="000000" w:themeColor="text1"/>
          <w:spacing w:val="0"/>
          <w:sz w:val="32"/>
          <w:szCs w:val="32"/>
          <w14:textFill>
            <w14:solidFill>
              <w14:schemeClr w14:val="tx1"/>
            </w14:solidFill>
          </w14:textFill>
        </w:rPr>
        <w:t>。</w:t>
      </w:r>
      <w:r>
        <w:rPr>
          <w:rFonts w:hint="eastAsia" w:ascii="仿宋_GB2312" w:eastAsia="仿宋_GB2312" w:cs="仿宋_GB2312"/>
          <w:bCs/>
          <w:color w:val="000000" w:themeColor="text1"/>
          <w:spacing w:val="0"/>
          <w:sz w:val="32"/>
          <w:szCs w:val="32"/>
          <w14:textFill>
            <w14:solidFill>
              <w14:schemeClr w14:val="tx1"/>
            </w14:solidFill>
          </w14:textFill>
        </w:rPr>
        <w:t>坚持“财金协同、聚力赋能”理念，深入实施</w:t>
      </w:r>
      <w:r>
        <w:rPr>
          <w:rFonts w:hint="eastAsia" w:ascii="仿宋_GB2312" w:eastAsia="仿宋_GB2312" w:cs="仿宋_GB2312"/>
          <w:bCs/>
          <w:color w:val="000000" w:themeColor="text1"/>
          <w:spacing w:val="0"/>
          <w:sz w:val="32"/>
          <w:szCs w:val="32"/>
          <w:lang w:val="en-US" w:eastAsia="zh-CN"/>
          <w14:textFill>
            <w14:solidFill>
              <w14:schemeClr w14:val="tx1"/>
            </w14:solidFill>
          </w14:textFill>
        </w:rPr>
        <w:t>贷款</w:t>
      </w:r>
      <w:r>
        <w:rPr>
          <w:rFonts w:hint="eastAsia" w:ascii="仿宋_GB2312" w:eastAsia="仿宋_GB2312" w:cs="仿宋_GB2312"/>
          <w:bCs/>
          <w:color w:val="000000" w:themeColor="text1"/>
          <w:spacing w:val="0"/>
          <w:sz w:val="32"/>
          <w:szCs w:val="32"/>
          <w14:textFill>
            <w14:solidFill>
              <w14:schemeClr w14:val="tx1"/>
            </w14:solidFill>
          </w14:textFill>
        </w:rPr>
        <w:t>畅通工程，深化“政银企”常态化对接机制，发挥“财政+金融”效应，引导金融机构更好服务支持重点领域、重点产业、重点项目、重点企业，切实解决中小微企业融资难、融资贵的问题。2025年，贷款同比增长17%，位于全市前列，累计为企业发放贷款79238万元，政府性融资担保公司为17户企业担保贷款3800万元。落实</w:t>
      </w:r>
      <w:r>
        <w:rPr>
          <w:rFonts w:hint="eastAsia" w:ascii="仿宋_GB2312" w:eastAsia="仿宋_GB2312" w:cs="仿宋_GB2312"/>
          <w:bCs/>
          <w:color w:val="000000" w:themeColor="text1"/>
          <w:spacing w:val="0"/>
          <w:sz w:val="32"/>
          <w:szCs w:val="32"/>
          <w:lang w:val="en-US" w:eastAsia="zh-CN"/>
          <w14:textFill>
            <w14:solidFill>
              <w14:schemeClr w14:val="tx1"/>
            </w14:solidFill>
          </w14:textFill>
        </w:rPr>
        <w:t>政策性</w:t>
      </w:r>
      <w:r>
        <w:rPr>
          <w:rFonts w:hint="eastAsia" w:ascii="仿宋_GB2312" w:eastAsia="仿宋_GB2312" w:cs="仿宋_GB2312"/>
          <w:bCs/>
          <w:color w:val="000000" w:themeColor="text1"/>
          <w:spacing w:val="0"/>
          <w:sz w:val="32"/>
          <w:szCs w:val="32"/>
          <w14:textFill>
            <w14:solidFill>
              <w14:schemeClr w14:val="tx1"/>
            </w14:solidFill>
          </w14:textFill>
        </w:rPr>
        <w:t>农业保险资金3064万元，持续推动农业保险“扩面、增品、提标”。</w:t>
      </w:r>
      <w:r>
        <w:rPr>
          <w:rFonts w:hint="eastAsia" w:ascii="仿宋_GB2312" w:eastAsia="仿宋_GB2312" w:cs="仿宋_GB2312"/>
          <w:b/>
          <w:color w:val="000000" w:themeColor="text1"/>
          <w:spacing w:val="0"/>
          <w:sz w:val="32"/>
          <w:szCs w:val="32"/>
          <w14:textFill>
            <w14:solidFill>
              <w14:schemeClr w14:val="tx1"/>
            </w14:solidFill>
          </w14:textFill>
        </w:rPr>
        <w:t>二是国企改革深化提升</w:t>
      </w:r>
      <w:r>
        <w:rPr>
          <w:rFonts w:hint="eastAsia" w:ascii="仿宋_GB2312" w:eastAsia="仿宋_GB2312" w:cs="仿宋_GB2312"/>
          <w:bCs/>
          <w:color w:val="000000" w:themeColor="text1"/>
          <w:spacing w:val="0"/>
          <w:sz w:val="32"/>
          <w:szCs w:val="32"/>
          <w14:textFill>
            <w14:solidFill>
              <w14:schemeClr w14:val="tx1"/>
            </w14:solidFill>
          </w14:textFill>
        </w:rPr>
        <w:t>。扎实推进国企改革深化提升行动，以治理现代化为目标，从规范董事会建设、深化经营机制改革、加强内控体系建设三方面完善企业运营机制，修订完善投资监管、人才管理、薪酬考核、资产监督等方面工作制度 17 项，</w:t>
      </w:r>
      <w:bookmarkStart w:id="2" w:name="OLE_LINK14"/>
      <w:r>
        <w:rPr>
          <w:rFonts w:hint="eastAsia" w:ascii="仿宋_GB2312" w:eastAsia="仿宋_GB2312" w:cs="仿宋_GB2312"/>
          <w:bCs/>
          <w:color w:val="000000" w:themeColor="text1"/>
          <w:spacing w:val="0"/>
          <w:sz w:val="32"/>
          <w:szCs w:val="32"/>
          <w14:textFill>
            <w14:solidFill>
              <w14:schemeClr w14:val="tx1"/>
            </w14:solidFill>
          </w14:textFill>
        </w:rPr>
        <w:t>35项重点改革任务全部完成，</w:t>
      </w:r>
      <w:bookmarkEnd w:id="2"/>
      <w:r>
        <w:rPr>
          <w:rFonts w:hint="eastAsia" w:ascii="仿宋_GB2312" w:eastAsia="仿宋_GB2312" w:cs="仿宋_GB2312"/>
          <w:bCs/>
          <w:color w:val="000000" w:themeColor="text1"/>
          <w:spacing w:val="0"/>
          <w:sz w:val="32"/>
          <w:szCs w:val="32"/>
          <w14:textFill>
            <w14:solidFill>
              <w14:schemeClr w14:val="tx1"/>
            </w14:solidFill>
          </w14:textFill>
        </w:rPr>
        <w:t>现代企业制度不断完善，经营发展质效稳步提升，改革取得了显著成效。</w:t>
      </w:r>
      <w:r>
        <w:rPr>
          <w:rFonts w:hint="eastAsia" w:ascii="仿宋_GB2312" w:eastAsia="仿宋_GB2312" w:cs="仿宋_GB2312"/>
          <w:b/>
          <w:color w:val="000000" w:themeColor="text1"/>
          <w:spacing w:val="0"/>
          <w:sz w:val="32"/>
          <w:szCs w:val="32"/>
          <w14:textFill>
            <w14:solidFill>
              <w14:schemeClr w14:val="tx1"/>
            </w14:solidFill>
          </w14:textFill>
        </w:rPr>
        <w:t>三是政府采购环境优化。</w:t>
      </w:r>
      <w:r>
        <w:rPr>
          <w:rFonts w:hint="eastAsia" w:ascii="仿宋_GB2312" w:eastAsia="仿宋_GB2312" w:cs="仿宋_GB2312"/>
          <w:bCs/>
          <w:color w:val="000000" w:themeColor="text1"/>
          <w:spacing w:val="0"/>
          <w:sz w:val="32"/>
          <w:szCs w:val="32"/>
          <w14:textFill>
            <w14:solidFill>
              <w14:schemeClr w14:val="tx1"/>
            </w14:solidFill>
          </w14:textFill>
        </w:rPr>
        <w:t>持续推进政府采购领域改革，从严整治政府采购领域“四类”违法违规行为，以公平竞争不断优化营商环境，进一步精简事项、优化流程、提升服务，营造竞争有序、公平公正的政府采购营商环境，构建“全流程监管+多维度评价”体系。2025年网上商城完成交易161笔，合同金额145.59万元；“832”平台累计订单247笔75.8万元，优先支持脱贫地区产品采购，助力乡村产业发展。</w:t>
      </w:r>
    </w:p>
    <w:p w14:paraId="76F77D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仿宋_GB2312"/>
          <w:bCs/>
          <w:color w:val="000000" w:themeColor="text1"/>
          <w:spacing w:val="-6"/>
          <w:sz w:val="32"/>
          <w:szCs w:val="32"/>
          <w:highlight w:val="yellow"/>
          <w14:textFill>
            <w14:solidFill>
              <w14:schemeClr w14:val="tx1"/>
            </w14:solidFill>
          </w14:textFill>
        </w:rPr>
      </w:pPr>
      <w:r>
        <w:rPr>
          <w:rFonts w:hint="eastAsia" w:ascii="楷体_GB2312" w:eastAsia="楷体_GB2312" w:cs="楷体_GB2312"/>
          <w:b/>
          <w:bCs/>
          <w:color w:val="000000" w:themeColor="text1"/>
          <w:spacing w:val="0"/>
          <w:sz w:val="32"/>
          <w:szCs w:val="32"/>
          <w14:textFill>
            <w14:solidFill>
              <w14:schemeClr w14:val="tx1"/>
            </w14:solidFill>
          </w14:textFill>
        </w:rPr>
        <w:t>4.</w:t>
      </w:r>
      <w:r>
        <w:rPr>
          <w:rFonts w:hint="eastAsia" w:ascii="仿宋_GB2312" w:eastAsia="仿宋_GB2312" w:cs="仿宋_GB2312"/>
          <w:b/>
          <w:color w:val="000000" w:themeColor="text1"/>
          <w:spacing w:val="0"/>
          <w:sz w:val="32"/>
          <w:szCs w:val="32"/>
          <w14:textFill>
            <w14:solidFill>
              <w14:schemeClr w14:val="tx1"/>
            </w14:solidFill>
          </w14:textFill>
        </w:rPr>
        <w:t>深化“财政改革”，资金效能持续提升。</w:t>
      </w:r>
      <w:r>
        <w:rPr>
          <w:rFonts w:hint="eastAsia" w:ascii="仿宋_GB2312" w:eastAsia="仿宋_GB2312"/>
          <w:b/>
          <w:bCs/>
          <w:spacing w:val="0"/>
          <w:sz w:val="32"/>
          <w:szCs w:val="32"/>
        </w:rPr>
        <w:t>一是“零基”预算改革成效显著。</w:t>
      </w:r>
      <w:r>
        <w:rPr>
          <w:rFonts w:hint="eastAsia" w:ascii="仿宋_GB2312" w:eastAsia="仿宋_GB2312" w:cs="仿宋_GB2312"/>
          <w:bCs/>
          <w:color w:val="000000" w:themeColor="text1"/>
          <w:spacing w:val="0"/>
          <w:sz w:val="32"/>
          <w:szCs w:val="32"/>
          <w14:textFill>
            <w14:solidFill>
              <w14:schemeClr w14:val="tx1"/>
            </w14:solidFill>
          </w14:textFill>
        </w:rPr>
        <w:t>坚持以零为基、以事定钱、以效促用，树立“从实际需求出发，以零为基点编制预算”的理念，建立健全县级政策制度库、项目储备库、支出标准库、绩效指标库，完善县级预算管理平台，按照轻重缓急、实际需求、绩效等情况重新测算安排项目，打破支出固化、僵化格局，优化财政支出结构。</w:t>
      </w:r>
      <w:r>
        <w:rPr>
          <w:rFonts w:hint="eastAsia" w:ascii="仿宋_GB2312" w:eastAsia="仿宋_GB2312" w:cs="仿宋_GB2312"/>
          <w:b/>
          <w:spacing w:val="0"/>
          <w:sz w:val="32"/>
          <w:szCs w:val="32"/>
        </w:rPr>
        <w:t>二是国有资本经营预算制度持续完善。</w:t>
      </w:r>
      <w:r>
        <w:rPr>
          <w:rFonts w:hint="eastAsia" w:ascii="仿宋_GB2312" w:eastAsia="仿宋_GB2312" w:cs="仿宋_GB2312"/>
          <w:bCs/>
          <w:spacing w:val="0"/>
          <w:sz w:val="32"/>
          <w:szCs w:val="32"/>
        </w:rPr>
        <w:t>加强收入管理工作，制定出台《肃南县县属国有企业国有资本收益收取管理办法》，为企业国有资本收益的申报、审核、上缴提供了明确的规范和程序，保障国有资本的合理利用和有效监管，强化国有资本经营预算“收、支、管、用”全链条管理，进一步提升国有资本经营预算资金支出效能。</w:t>
      </w:r>
      <w:r>
        <w:rPr>
          <w:rFonts w:hint="eastAsia" w:ascii="仿宋_GB2312" w:eastAsia="仿宋_GB2312" w:cs="仿宋_GB2312"/>
          <w:b/>
          <w:color w:val="000000" w:themeColor="text1"/>
          <w:spacing w:val="0"/>
          <w:sz w:val="32"/>
          <w:szCs w:val="32"/>
          <w14:textFill>
            <w14:solidFill>
              <w14:schemeClr w14:val="tx1"/>
            </w14:solidFill>
          </w14:textFill>
        </w:rPr>
        <w:t>三是预算绩效管理实现全覆盖。</w:t>
      </w:r>
      <w:r>
        <w:rPr>
          <w:rFonts w:hint="eastAsia" w:ascii="仿宋_GB2312" w:eastAsia="仿宋_GB2312" w:cs="仿宋_GB2312"/>
          <w:bCs/>
          <w:color w:val="000000" w:themeColor="text1"/>
          <w:spacing w:val="0"/>
          <w:sz w:val="32"/>
          <w:szCs w:val="32"/>
          <w14:textFill>
            <w14:solidFill>
              <w14:schemeClr w14:val="tx1"/>
            </w14:solidFill>
          </w14:textFill>
        </w:rPr>
        <w:t>牢固树立“花钱必问效、无效必问责”的理念，制定《肃南县全方位预算绩效管理横向协同、纵向监督工作规程》，完善绩效管理机制4个，建立分行业、分领域、分层次绩效指标标准体系5个，构建闭环管理模式。2025</w:t>
      </w:r>
      <w:r>
        <w:rPr>
          <w:rFonts w:hint="eastAsia" w:ascii="仿宋_GB2312" w:eastAsia="仿宋_GB2312" w:cs="仿宋_GB2312"/>
          <w:bCs/>
          <w:color w:val="000000" w:themeColor="text1"/>
          <w:spacing w:val="-6"/>
          <w:sz w:val="32"/>
          <w:szCs w:val="32"/>
          <w14:textFill>
            <w14:solidFill>
              <w14:schemeClr w14:val="tx1"/>
            </w14:solidFill>
          </w14:textFill>
        </w:rPr>
        <w:t>年完成事前绩效评估项目</w:t>
      </w:r>
      <w:r>
        <w:rPr>
          <w:rFonts w:hint="eastAsia" w:ascii="仿宋_GB2312" w:eastAsia="仿宋_GB2312" w:cs="仿宋_GB2312"/>
          <w:color w:val="000000" w:themeColor="text1"/>
          <w:spacing w:val="-6"/>
          <w:sz w:val="32"/>
          <w:szCs w:val="32"/>
          <w14:textFill>
            <w14:solidFill>
              <w14:schemeClr w14:val="tx1"/>
            </w14:solidFill>
          </w14:textFill>
        </w:rPr>
        <w:t>28</w:t>
      </w:r>
      <w:r>
        <w:rPr>
          <w:rFonts w:hint="eastAsia" w:ascii="仿宋_GB2312" w:eastAsia="仿宋_GB2312" w:cs="仿宋_GB2312"/>
          <w:bCs/>
          <w:color w:val="000000" w:themeColor="text1"/>
          <w:spacing w:val="-6"/>
          <w:sz w:val="32"/>
          <w:szCs w:val="32"/>
          <w14:textFill>
            <w14:solidFill>
              <w14:schemeClr w14:val="tx1"/>
            </w14:solidFill>
          </w14:textFill>
        </w:rPr>
        <w:t>个，编制</w:t>
      </w:r>
      <w:r>
        <w:rPr>
          <w:rFonts w:hint="eastAsia" w:ascii="仿宋_GB2312" w:eastAsia="仿宋_GB2312" w:cs="仿宋_GB2312"/>
          <w:color w:val="000000" w:themeColor="text1"/>
          <w:spacing w:val="-6"/>
          <w:sz w:val="32"/>
          <w:szCs w:val="32"/>
          <w14:textFill>
            <w14:solidFill>
              <w14:schemeClr w14:val="tx1"/>
            </w14:solidFill>
          </w14:textFill>
        </w:rPr>
        <w:t>1441</w:t>
      </w:r>
      <w:r>
        <w:rPr>
          <w:rFonts w:hint="eastAsia" w:ascii="仿宋_GB2312" w:eastAsia="仿宋_GB2312" w:cs="仿宋_GB2312"/>
          <w:bCs/>
          <w:color w:val="000000" w:themeColor="text1"/>
          <w:spacing w:val="-6"/>
          <w:sz w:val="32"/>
          <w:szCs w:val="32"/>
          <w14:textFill>
            <w14:solidFill>
              <w14:schemeClr w14:val="tx1"/>
            </w14:solidFill>
          </w14:textFill>
        </w:rPr>
        <w:t>个项目及</w:t>
      </w:r>
      <w:r>
        <w:rPr>
          <w:rFonts w:hint="eastAsia" w:ascii="仿宋_GB2312" w:eastAsia="仿宋_GB2312" w:cs="仿宋_GB2312"/>
          <w:color w:val="000000" w:themeColor="text1"/>
          <w:spacing w:val="-6"/>
          <w:sz w:val="32"/>
          <w:szCs w:val="32"/>
          <w14:textFill>
            <w14:solidFill>
              <w14:schemeClr w14:val="tx1"/>
            </w14:solidFill>
          </w14:textFill>
        </w:rPr>
        <w:t>16</w:t>
      </w:r>
      <w:r>
        <w:rPr>
          <w:rFonts w:hint="eastAsia" w:ascii="仿宋_GB2312" w:eastAsia="仿宋_GB2312" w:cs="仿宋_GB2312"/>
          <w:bCs/>
          <w:color w:val="000000" w:themeColor="text1"/>
          <w:spacing w:val="-6"/>
          <w:sz w:val="32"/>
          <w:szCs w:val="32"/>
          <w14:textFill>
            <w14:solidFill>
              <w14:schemeClr w14:val="tx1"/>
            </w14:solidFill>
          </w14:textFill>
        </w:rPr>
        <w:t>个部门整体绩效目标，开展项目绩效自评</w:t>
      </w:r>
      <w:r>
        <w:rPr>
          <w:rFonts w:hint="eastAsia" w:ascii="仿宋_GB2312" w:eastAsia="仿宋_GB2312" w:cs="仿宋_GB2312"/>
          <w:color w:val="000000" w:themeColor="text1"/>
          <w:spacing w:val="-6"/>
          <w:sz w:val="32"/>
          <w:szCs w:val="32"/>
          <w14:textFill>
            <w14:solidFill>
              <w14:schemeClr w14:val="tx1"/>
            </w14:solidFill>
          </w14:textFill>
        </w:rPr>
        <w:t>2037</w:t>
      </w:r>
      <w:r>
        <w:rPr>
          <w:rFonts w:hint="eastAsia" w:ascii="仿宋_GB2312" w:eastAsia="仿宋_GB2312" w:cs="仿宋_GB2312"/>
          <w:bCs/>
          <w:color w:val="000000" w:themeColor="text1"/>
          <w:spacing w:val="-6"/>
          <w:sz w:val="32"/>
          <w:szCs w:val="32"/>
          <w14:textFill>
            <w14:solidFill>
              <w14:schemeClr w14:val="tx1"/>
            </w14:solidFill>
          </w14:textFill>
        </w:rPr>
        <w:t>个，部门整体自评167个。</w:t>
      </w:r>
    </w:p>
    <w:p w14:paraId="0FA0A0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仿宋_GB2312"/>
          <w:bCs/>
          <w:color w:val="000000" w:themeColor="text1"/>
          <w:spacing w:val="0"/>
          <w:sz w:val="32"/>
          <w:szCs w:val="32"/>
          <w14:textFill>
            <w14:solidFill>
              <w14:schemeClr w14:val="tx1"/>
            </w14:solidFill>
          </w14:textFill>
        </w:rPr>
      </w:pPr>
      <w:r>
        <w:rPr>
          <w:rFonts w:hint="eastAsia" w:ascii="楷体_GB2312" w:eastAsia="楷体_GB2312" w:cs="楷体_GB2312"/>
          <w:b/>
          <w:bCs/>
          <w:color w:val="000000" w:themeColor="text1"/>
          <w:spacing w:val="0"/>
          <w:sz w:val="32"/>
          <w:szCs w:val="32"/>
          <w14:textFill>
            <w14:solidFill>
              <w14:schemeClr w14:val="tx1"/>
            </w14:solidFill>
          </w14:textFill>
        </w:rPr>
        <w:t>5.严守“风险底线”，财政运行安全稳定。</w:t>
      </w:r>
      <w:r>
        <w:rPr>
          <w:rFonts w:ascii="仿宋_GB2312" w:eastAsia="仿宋_GB2312" w:cs="仿宋_GB2312"/>
          <w:b/>
          <w:color w:val="000000" w:themeColor="text1"/>
          <w:spacing w:val="0"/>
          <w:sz w:val="32"/>
          <w:szCs w:val="32"/>
          <w14:textFill>
            <w14:solidFill>
              <w14:schemeClr w14:val="tx1"/>
            </w14:solidFill>
          </w14:textFill>
        </w:rPr>
        <w:t>一是</w:t>
      </w:r>
      <w:r>
        <w:rPr>
          <w:rFonts w:hint="eastAsia" w:ascii="仿宋_GB2312" w:eastAsia="仿宋_GB2312" w:cs="仿宋_GB2312"/>
          <w:b/>
          <w:color w:val="000000" w:themeColor="text1"/>
          <w:spacing w:val="0"/>
          <w:sz w:val="32"/>
          <w:szCs w:val="32"/>
          <w14:textFill>
            <w14:solidFill>
              <w14:schemeClr w14:val="tx1"/>
            </w14:solidFill>
          </w14:textFill>
        </w:rPr>
        <w:t>“</w:t>
      </w:r>
      <w:r>
        <w:rPr>
          <w:rFonts w:ascii="仿宋_GB2312" w:eastAsia="仿宋_GB2312" w:cs="仿宋_GB2312"/>
          <w:b/>
          <w:color w:val="000000" w:themeColor="text1"/>
          <w:spacing w:val="0"/>
          <w:sz w:val="32"/>
          <w:szCs w:val="32"/>
          <w14:textFill>
            <w14:solidFill>
              <w14:schemeClr w14:val="tx1"/>
            </w14:solidFill>
          </w14:textFill>
        </w:rPr>
        <w:t>三保</w:t>
      </w:r>
      <w:r>
        <w:rPr>
          <w:rFonts w:hint="eastAsia" w:ascii="仿宋_GB2312" w:eastAsia="仿宋_GB2312" w:cs="仿宋_GB2312"/>
          <w:b/>
          <w:color w:val="000000" w:themeColor="text1"/>
          <w:spacing w:val="0"/>
          <w:sz w:val="32"/>
          <w:szCs w:val="32"/>
          <w14:textFill>
            <w14:solidFill>
              <w14:schemeClr w14:val="tx1"/>
            </w14:solidFill>
          </w14:textFill>
        </w:rPr>
        <w:t>”底线兜实兜牢</w:t>
      </w:r>
      <w:r>
        <w:rPr>
          <w:rFonts w:ascii="仿宋_GB2312" w:eastAsia="仿宋_GB2312" w:cs="仿宋_GB2312"/>
          <w:b/>
          <w:color w:val="000000" w:themeColor="text1"/>
          <w:spacing w:val="0"/>
          <w:sz w:val="32"/>
          <w:szCs w:val="32"/>
          <w14:textFill>
            <w14:solidFill>
              <w14:schemeClr w14:val="tx1"/>
            </w14:solidFill>
          </w14:textFill>
        </w:rPr>
        <w:t>。</w:t>
      </w:r>
      <w:r>
        <w:rPr>
          <w:rFonts w:ascii="仿宋_GB2312" w:eastAsia="仿宋_GB2312" w:cs="仿宋_GB2312"/>
          <w:bCs/>
          <w:color w:val="000000" w:themeColor="text1"/>
          <w:spacing w:val="0"/>
          <w:sz w:val="32"/>
          <w:szCs w:val="32"/>
          <w14:textFill>
            <w14:solidFill>
              <w14:schemeClr w14:val="tx1"/>
            </w14:solidFill>
          </w14:textFill>
        </w:rPr>
        <w:t>在预算执行中，始终坚持</w:t>
      </w:r>
      <w:r>
        <w:rPr>
          <w:rFonts w:hint="eastAsia" w:ascii="仿宋_GB2312" w:eastAsia="仿宋_GB2312" w:cs="仿宋_GB2312"/>
          <w:bCs/>
          <w:color w:val="000000" w:themeColor="text1"/>
          <w:spacing w:val="0"/>
          <w:sz w:val="32"/>
          <w:szCs w:val="32"/>
          <w14:textFill>
            <w14:solidFill>
              <w14:schemeClr w14:val="tx1"/>
            </w14:solidFill>
          </w14:textFill>
        </w:rPr>
        <w:t>“</w:t>
      </w:r>
      <w:r>
        <w:rPr>
          <w:rFonts w:ascii="仿宋_GB2312" w:eastAsia="仿宋_GB2312" w:cs="仿宋_GB2312"/>
          <w:bCs/>
          <w:color w:val="000000" w:themeColor="text1"/>
          <w:spacing w:val="0"/>
          <w:sz w:val="32"/>
          <w:szCs w:val="32"/>
          <w14:textFill>
            <w14:solidFill>
              <w14:schemeClr w14:val="tx1"/>
            </w14:solidFill>
          </w14:textFill>
        </w:rPr>
        <w:t>三保</w:t>
      </w:r>
      <w:r>
        <w:rPr>
          <w:rFonts w:hint="eastAsia" w:ascii="仿宋_GB2312" w:eastAsia="仿宋_GB2312" w:cs="仿宋_GB2312"/>
          <w:bCs/>
          <w:color w:val="000000" w:themeColor="text1"/>
          <w:spacing w:val="0"/>
          <w:sz w:val="32"/>
          <w:szCs w:val="32"/>
          <w14:textFill>
            <w14:solidFill>
              <w14:schemeClr w14:val="tx1"/>
            </w14:solidFill>
          </w14:textFill>
        </w:rPr>
        <w:t>”</w:t>
      </w:r>
      <w:r>
        <w:rPr>
          <w:rFonts w:ascii="仿宋_GB2312" w:eastAsia="仿宋_GB2312" w:cs="仿宋_GB2312"/>
          <w:bCs/>
          <w:color w:val="000000" w:themeColor="text1"/>
          <w:spacing w:val="0"/>
          <w:sz w:val="32"/>
          <w:szCs w:val="32"/>
          <w14:textFill>
            <w14:solidFill>
              <w14:schemeClr w14:val="tx1"/>
            </w14:solidFill>
          </w14:textFill>
        </w:rPr>
        <w:t>支出在财政支出中的优先顺序，加大资金统筹力度，坚决兜牢</w:t>
      </w:r>
      <w:r>
        <w:rPr>
          <w:rFonts w:hint="eastAsia" w:ascii="仿宋_GB2312" w:eastAsia="仿宋_GB2312" w:cs="仿宋_GB2312"/>
          <w:bCs/>
          <w:color w:val="000000" w:themeColor="text1"/>
          <w:spacing w:val="0"/>
          <w:sz w:val="32"/>
          <w:szCs w:val="32"/>
          <w14:textFill>
            <w14:solidFill>
              <w14:schemeClr w14:val="tx1"/>
            </w14:solidFill>
          </w14:textFill>
        </w:rPr>
        <w:t>“</w:t>
      </w:r>
      <w:r>
        <w:rPr>
          <w:rFonts w:ascii="仿宋_GB2312" w:eastAsia="仿宋_GB2312" w:cs="仿宋_GB2312"/>
          <w:bCs/>
          <w:color w:val="000000" w:themeColor="text1"/>
          <w:spacing w:val="0"/>
          <w:sz w:val="32"/>
          <w:szCs w:val="32"/>
          <w14:textFill>
            <w14:solidFill>
              <w14:schemeClr w14:val="tx1"/>
            </w14:solidFill>
          </w14:textFill>
        </w:rPr>
        <w:t>三保</w:t>
      </w:r>
      <w:r>
        <w:rPr>
          <w:rFonts w:hint="eastAsia" w:ascii="仿宋_GB2312" w:eastAsia="仿宋_GB2312" w:cs="仿宋_GB2312"/>
          <w:bCs/>
          <w:color w:val="000000" w:themeColor="text1"/>
          <w:spacing w:val="0"/>
          <w:sz w:val="32"/>
          <w:szCs w:val="32"/>
          <w14:textFill>
            <w14:solidFill>
              <w14:schemeClr w14:val="tx1"/>
            </w14:solidFill>
          </w14:textFill>
        </w:rPr>
        <w:t>”</w:t>
      </w:r>
      <w:r>
        <w:rPr>
          <w:rFonts w:ascii="仿宋_GB2312" w:eastAsia="仿宋_GB2312" w:cs="仿宋_GB2312"/>
          <w:bCs/>
          <w:color w:val="000000" w:themeColor="text1"/>
          <w:spacing w:val="0"/>
          <w:sz w:val="32"/>
          <w:szCs w:val="32"/>
          <w14:textFill>
            <w14:solidFill>
              <w14:schemeClr w14:val="tx1"/>
            </w14:solidFill>
          </w14:textFill>
        </w:rPr>
        <w:t>底线。</w:t>
      </w:r>
      <w:r>
        <w:rPr>
          <w:rFonts w:hint="eastAsia" w:ascii="仿宋_GB2312" w:eastAsia="仿宋_GB2312" w:cs="仿宋_GB2312"/>
          <w:bCs/>
          <w:color w:val="000000" w:themeColor="text1"/>
          <w:spacing w:val="0"/>
          <w:sz w:val="32"/>
          <w:szCs w:val="32"/>
          <w14:textFill>
            <w14:solidFill>
              <w14:schemeClr w14:val="tx1"/>
            </w14:solidFill>
          </w14:textFill>
        </w:rPr>
        <w:t>全年“</w:t>
      </w:r>
      <w:r>
        <w:rPr>
          <w:rFonts w:ascii="仿宋_GB2312" w:eastAsia="仿宋_GB2312" w:cs="仿宋_GB2312"/>
          <w:bCs/>
          <w:color w:val="000000" w:themeColor="text1"/>
          <w:spacing w:val="0"/>
          <w:sz w:val="32"/>
          <w:szCs w:val="32"/>
          <w14:textFill>
            <w14:solidFill>
              <w14:schemeClr w14:val="tx1"/>
            </w14:solidFill>
          </w14:textFill>
        </w:rPr>
        <w:t>三保</w:t>
      </w:r>
      <w:r>
        <w:rPr>
          <w:rFonts w:hint="eastAsia" w:ascii="仿宋_GB2312" w:eastAsia="仿宋_GB2312" w:cs="仿宋_GB2312"/>
          <w:bCs/>
          <w:color w:val="000000" w:themeColor="text1"/>
          <w:spacing w:val="0"/>
          <w:sz w:val="32"/>
          <w:szCs w:val="32"/>
          <w14:textFill>
            <w14:solidFill>
              <w14:schemeClr w14:val="tx1"/>
            </w14:solidFill>
          </w14:textFill>
        </w:rPr>
        <w:t>”</w:t>
      </w:r>
      <w:r>
        <w:rPr>
          <w:rFonts w:ascii="仿宋_GB2312" w:eastAsia="仿宋_GB2312" w:cs="仿宋_GB2312"/>
          <w:bCs/>
          <w:color w:val="000000" w:themeColor="text1"/>
          <w:spacing w:val="0"/>
          <w:sz w:val="32"/>
          <w:szCs w:val="32"/>
          <w14:textFill>
            <w14:solidFill>
              <w14:schemeClr w14:val="tx1"/>
            </w14:solidFill>
          </w14:textFill>
        </w:rPr>
        <w:t>支出</w:t>
      </w:r>
      <w:r>
        <w:rPr>
          <w:rFonts w:hint="eastAsia" w:ascii="仿宋_GB2312" w:eastAsia="仿宋_GB2312" w:cs="仿宋_GB2312"/>
          <w:bCs/>
          <w:color w:val="000000" w:themeColor="text1"/>
          <w:spacing w:val="0"/>
          <w:sz w:val="32"/>
          <w:szCs w:val="32"/>
          <w14:textFill>
            <w14:solidFill>
              <w14:schemeClr w14:val="tx1"/>
            </w14:solidFill>
          </w14:textFill>
        </w:rPr>
        <w:t>60061.9万，支出进度100%，其中保民生支出8470.94万元，保工资支出46972.77万元，保运转支出4618.19万元。</w:t>
      </w:r>
      <w:r>
        <w:rPr>
          <w:rFonts w:hint="eastAsia" w:ascii="仿宋_GB2312" w:eastAsia="仿宋_GB2312" w:cs="仿宋_GB2312"/>
          <w:b/>
          <w:color w:val="000000" w:themeColor="text1"/>
          <w:spacing w:val="0"/>
          <w:sz w:val="32"/>
          <w:szCs w:val="32"/>
          <w14:textFill>
            <w14:solidFill>
              <w14:schemeClr w14:val="tx1"/>
            </w14:solidFill>
          </w14:textFill>
        </w:rPr>
        <w:t>二是政府债务规范管理。</w:t>
      </w:r>
      <w:r>
        <w:rPr>
          <w:rFonts w:hint="eastAsia" w:ascii="仿宋_GB2312" w:eastAsia="仿宋_GB2312" w:cs="仿宋_GB2312"/>
          <w:bCs/>
          <w:color w:val="000000" w:themeColor="text1"/>
          <w:spacing w:val="0"/>
          <w:sz w:val="32"/>
          <w:szCs w:val="32"/>
          <w14:textFill>
            <w14:solidFill>
              <w14:schemeClr w14:val="tx1"/>
            </w14:solidFill>
          </w14:textFill>
        </w:rPr>
        <w:t>坚持统筹发展和安全，</w:t>
      </w:r>
      <w:bookmarkStart w:id="3" w:name="_Hlk218008555"/>
      <w:r>
        <w:rPr>
          <w:rFonts w:hint="eastAsia" w:ascii="仿宋_GB2312" w:eastAsia="仿宋_GB2312" w:cs="仿宋_GB2312"/>
          <w:bCs/>
          <w:color w:val="000000" w:themeColor="text1"/>
          <w:spacing w:val="0"/>
          <w:sz w:val="32"/>
          <w:szCs w:val="32"/>
          <w14:textFill>
            <w14:solidFill>
              <w14:schemeClr w14:val="tx1"/>
            </w14:solidFill>
          </w14:textFill>
        </w:rPr>
        <w:t>落实一揽子化债方案，累计偿还债务本息5595.65万元，</w:t>
      </w:r>
      <w:r>
        <w:rPr>
          <w:rFonts w:hint="eastAsia" w:ascii="仿宋_GB2312" w:eastAsia="仿宋_GB2312" w:cs="仿宋_GB2312"/>
          <w:bCs/>
          <w:color w:val="000000" w:themeColor="text1"/>
          <w:spacing w:val="0"/>
          <w:sz w:val="32"/>
          <w:szCs w:val="32"/>
          <w:lang w:val="en-US" w:eastAsia="zh-CN"/>
          <w14:textFill>
            <w14:solidFill>
              <w14:schemeClr w14:val="tx1"/>
            </w14:solidFill>
          </w14:textFill>
        </w:rPr>
        <w:t>两户</w:t>
      </w:r>
      <w:r>
        <w:rPr>
          <w:rFonts w:hint="eastAsia" w:ascii="仿宋_GB2312" w:eastAsia="仿宋_GB2312" w:cs="仿宋_GB2312"/>
          <w:bCs/>
          <w:color w:val="000000" w:themeColor="text1"/>
          <w:spacing w:val="0"/>
          <w:sz w:val="32"/>
          <w:szCs w:val="32"/>
          <w14:textFill>
            <w14:solidFill>
              <w14:schemeClr w14:val="tx1"/>
            </w14:solidFill>
          </w14:textFill>
        </w:rPr>
        <w:t>融资平台</w:t>
      </w:r>
      <w:r>
        <w:rPr>
          <w:rFonts w:hint="eastAsia" w:ascii="仿宋_GB2312" w:eastAsia="仿宋_GB2312" w:cs="仿宋_GB2312"/>
          <w:bCs/>
          <w:color w:val="000000" w:themeColor="text1"/>
          <w:spacing w:val="0"/>
          <w:sz w:val="32"/>
          <w:szCs w:val="32"/>
          <w:lang w:val="en-US" w:eastAsia="zh-CN"/>
          <w14:textFill>
            <w14:solidFill>
              <w14:schemeClr w14:val="tx1"/>
            </w14:solidFill>
          </w14:textFill>
        </w:rPr>
        <w:t>公司</w:t>
      </w:r>
      <w:r>
        <w:rPr>
          <w:rFonts w:hint="eastAsia" w:ascii="仿宋_GB2312" w:eastAsia="仿宋_GB2312" w:cs="仿宋_GB2312"/>
          <w:bCs/>
          <w:color w:val="000000" w:themeColor="text1"/>
          <w:spacing w:val="0"/>
          <w:sz w:val="32"/>
          <w:szCs w:val="32"/>
          <w14:textFill>
            <w14:solidFill>
              <w14:schemeClr w14:val="tx1"/>
            </w14:solidFill>
          </w14:textFill>
        </w:rPr>
        <w:t>顺利退出融资平台</w:t>
      </w:r>
      <w:r>
        <w:rPr>
          <w:rFonts w:hint="eastAsia" w:ascii="仿宋_GB2312" w:eastAsia="仿宋_GB2312" w:cs="仿宋_GB2312"/>
          <w:bCs/>
          <w:color w:val="000000" w:themeColor="text1"/>
          <w:spacing w:val="0"/>
          <w:sz w:val="32"/>
          <w:szCs w:val="32"/>
          <w:lang w:val="en-US" w:eastAsia="zh-CN"/>
          <w14:textFill>
            <w14:solidFill>
              <w14:schemeClr w14:val="tx1"/>
            </w14:solidFill>
          </w14:textFill>
        </w:rPr>
        <w:t>序列</w:t>
      </w:r>
      <w:r>
        <w:rPr>
          <w:rFonts w:hint="eastAsia" w:ascii="仿宋_GB2312" w:eastAsia="仿宋_GB2312" w:cs="仿宋_GB2312"/>
          <w:bCs/>
          <w:color w:val="000000" w:themeColor="text1"/>
          <w:spacing w:val="0"/>
          <w:sz w:val="32"/>
          <w:szCs w:val="32"/>
          <w14:textFill>
            <w14:solidFill>
              <w14:schemeClr w14:val="tx1"/>
            </w14:solidFill>
          </w14:textFill>
        </w:rPr>
        <w:t>，获得奖励资金610万元；化解政府拖欠中小企业欠款30笔1414.29万元，实现政府拖欠企业账款清零；化解YX债务786.3万元，实现政府YX债务清零目标；清理化解财政暂付款1000万元，完成年度化解任务，全县债务风险总体可控。</w:t>
      </w:r>
      <w:bookmarkEnd w:id="3"/>
      <w:r>
        <w:rPr>
          <w:rFonts w:hint="eastAsia" w:ascii="仿宋_GB2312" w:eastAsia="仿宋_GB2312" w:cs="仿宋_GB2312"/>
          <w:b/>
          <w:color w:val="000000" w:themeColor="text1"/>
          <w:spacing w:val="0"/>
          <w:sz w:val="32"/>
          <w:szCs w:val="32"/>
          <w14:textFill>
            <w14:solidFill>
              <w14:schemeClr w14:val="tx1"/>
            </w14:solidFill>
          </w14:textFill>
        </w:rPr>
        <w:t>三是</w:t>
      </w:r>
      <w:bookmarkStart w:id="4" w:name="OLE_LINK5"/>
      <w:r>
        <w:rPr>
          <w:rFonts w:hint="eastAsia" w:ascii="仿宋_GB2312" w:eastAsia="仿宋_GB2312" w:cs="仿宋_GB2312"/>
          <w:b/>
          <w:color w:val="000000" w:themeColor="text1"/>
          <w:spacing w:val="0"/>
          <w:sz w:val="32"/>
          <w:szCs w:val="32"/>
          <w14:textFill>
            <w14:solidFill>
              <w14:schemeClr w14:val="tx1"/>
            </w14:solidFill>
          </w14:textFill>
        </w:rPr>
        <w:t>金融风险有效防控</w:t>
      </w:r>
      <w:bookmarkEnd w:id="4"/>
      <w:r>
        <w:rPr>
          <w:rFonts w:hint="eastAsia" w:ascii="仿宋_GB2312" w:eastAsia="仿宋_GB2312" w:cs="仿宋_GB2312"/>
          <w:b/>
          <w:color w:val="000000" w:themeColor="text1"/>
          <w:spacing w:val="0"/>
          <w:sz w:val="32"/>
          <w:szCs w:val="32"/>
          <w14:textFill>
            <w14:solidFill>
              <w14:schemeClr w14:val="tx1"/>
            </w14:solidFill>
          </w14:textFill>
        </w:rPr>
        <w:t>。</w:t>
      </w:r>
      <w:r>
        <w:rPr>
          <w:rFonts w:hint="eastAsia" w:ascii="仿宋_GB2312" w:eastAsia="仿宋_GB2312" w:cs="仿宋_GB2312"/>
          <w:bCs/>
          <w:color w:val="000000" w:themeColor="text1"/>
          <w:spacing w:val="0"/>
          <w:sz w:val="32"/>
          <w:szCs w:val="32"/>
          <w14:textFill>
            <w14:solidFill>
              <w14:schemeClr w14:val="tx1"/>
            </w14:solidFill>
          </w14:textFill>
        </w:rPr>
        <w:t>强化底线思维，坚持系统观念，持续优化金融生态环境，清收处置不良贷款500万元，全县不良率</w:t>
      </w:r>
      <w:r>
        <w:rPr>
          <w:rFonts w:hint="eastAsia" w:ascii="仿宋_GB2312" w:eastAsia="仿宋_GB2312" w:cs="仿宋_GB2312"/>
          <w:bCs/>
          <w:color w:val="000000" w:themeColor="text1"/>
          <w:spacing w:val="0"/>
          <w:sz w:val="32"/>
          <w:szCs w:val="32"/>
          <w:lang w:val="en-US" w:eastAsia="zh-CN"/>
          <w14:textFill>
            <w14:solidFill>
              <w14:schemeClr w14:val="tx1"/>
            </w14:solidFill>
          </w14:textFill>
        </w:rPr>
        <w:t>为0.44</w:t>
      </w:r>
      <w:r>
        <w:rPr>
          <w:rFonts w:hint="eastAsia" w:ascii="仿宋_GB2312" w:eastAsia="仿宋_GB2312" w:cs="仿宋_GB2312"/>
          <w:bCs/>
          <w:color w:val="000000" w:themeColor="text1"/>
          <w:spacing w:val="0"/>
          <w:sz w:val="32"/>
          <w:szCs w:val="32"/>
          <w14:textFill>
            <w14:solidFill>
              <w14:schemeClr w14:val="tx1"/>
            </w14:solidFill>
          </w14:textFill>
        </w:rPr>
        <w:t>%，远低于5%的监管标准，农商银行股权改革有序推进，金融风险处于可控范围。</w:t>
      </w:r>
      <w:r>
        <w:rPr>
          <w:rFonts w:hint="eastAsia" w:ascii="仿宋_GB2312" w:eastAsia="仿宋_GB2312" w:cs="仿宋_GB2312"/>
          <w:b/>
          <w:color w:val="000000" w:themeColor="text1"/>
          <w:spacing w:val="0"/>
          <w:sz w:val="32"/>
          <w:szCs w:val="32"/>
          <w14:textFill>
            <w14:solidFill>
              <w14:schemeClr w14:val="tx1"/>
            </w14:solidFill>
          </w14:textFill>
        </w:rPr>
        <w:t>四是财会监督精准发力。</w:t>
      </w:r>
      <w:r>
        <w:rPr>
          <w:rFonts w:hint="eastAsia" w:ascii="仿宋_GB2312" w:eastAsia="仿宋_GB2312" w:cs="仿宋_GB2312"/>
          <w:bCs/>
          <w:color w:val="000000" w:themeColor="text1"/>
          <w:spacing w:val="0"/>
          <w:sz w:val="32"/>
          <w:szCs w:val="32"/>
          <w14:textFill>
            <w14:solidFill>
              <w14:schemeClr w14:val="tx1"/>
            </w14:solidFill>
          </w14:textFill>
        </w:rPr>
        <w:t>健全“1+N”财会监督制度体系，建立与纪检监察、巡察监督的贯通协调机制，开展重点问题专项整治及会计、评估监督执法检查，检查部门单位</w:t>
      </w:r>
      <w:r>
        <w:rPr>
          <w:rFonts w:hint="eastAsia" w:ascii="仿宋_GB2312" w:eastAsia="仿宋_GB2312" w:cs="仿宋_GB2312"/>
          <w:color w:val="000000" w:themeColor="text1"/>
          <w:spacing w:val="0"/>
          <w:sz w:val="32"/>
          <w:szCs w:val="32"/>
          <w14:textFill>
            <w14:solidFill>
              <w14:schemeClr w14:val="tx1"/>
            </w14:solidFill>
          </w14:textFill>
        </w:rPr>
        <w:t>50</w:t>
      </w:r>
      <w:r>
        <w:rPr>
          <w:rFonts w:hint="eastAsia" w:ascii="仿宋_GB2312" w:eastAsia="仿宋_GB2312" w:cs="仿宋_GB2312"/>
          <w:bCs/>
          <w:color w:val="000000" w:themeColor="text1"/>
          <w:spacing w:val="0"/>
          <w:sz w:val="32"/>
          <w:szCs w:val="32"/>
          <w14:textFill>
            <w14:solidFill>
              <w14:schemeClr w14:val="tx1"/>
            </w14:solidFill>
          </w14:textFill>
        </w:rPr>
        <w:t>个，排查整改各类问题</w:t>
      </w:r>
      <w:r>
        <w:rPr>
          <w:rFonts w:hint="eastAsia" w:ascii="仿宋_GB2312" w:eastAsia="仿宋_GB2312" w:cs="仿宋_GB2312"/>
          <w:color w:val="000000" w:themeColor="text1"/>
          <w:spacing w:val="0"/>
          <w:sz w:val="32"/>
          <w:szCs w:val="32"/>
          <w14:textFill>
            <w14:solidFill>
              <w14:schemeClr w14:val="tx1"/>
            </w14:solidFill>
          </w14:textFill>
        </w:rPr>
        <w:t>36</w:t>
      </w:r>
      <w:r>
        <w:rPr>
          <w:rFonts w:hint="eastAsia" w:ascii="仿宋_GB2312" w:eastAsia="仿宋_GB2312" w:cs="仿宋_GB2312"/>
          <w:bCs/>
          <w:color w:val="000000" w:themeColor="text1"/>
          <w:spacing w:val="0"/>
          <w:sz w:val="32"/>
          <w:szCs w:val="32"/>
          <w14:textFill>
            <w14:solidFill>
              <w14:schemeClr w14:val="tx1"/>
            </w14:solidFill>
          </w14:textFill>
        </w:rPr>
        <w:t>个，推动财政资金安全、规范、高效使用。</w:t>
      </w:r>
    </w:p>
    <w:p w14:paraId="202A95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pacing w:val="0"/>
          <w:sz w:val="32"/>
          <w:szCs w:val="32"/>
        </w:rPr>
      </w:pPr>
      <w:r>
        <w:rPr>
          <w:rFonts w:hint="eastAsia" w:ascii="仿宋_GB2312" w:eastAsia="仿宋_GB2312" w:cs="仿宋_GB2312"/>
          <w:bCs/>
          <w:color w:val="000000" w:themeColor="text1"/>
          <w:spacing w:val="0"/>
          <w:sz w:val="32"/>
          <w:szCs w:val="32"/>
          <w14:textFill>
            <w14:solidFill>
              <w14:schemeClr w14:val="tx1"/>
            </w14:solidFill>
          </w14:textFill>
        </w:rPr>
        <w:t>各位代表，经过“十四五”时期的不懈努力，全县财政工作在守正创新中取得新突破，在攻坚克难中迈出新步伐。</w:t>
      </w:r>
      <w:r>
        <w:rPr>
          <w:rFonts w:hint="eastAsia" w:ascii="仿宋_GB2312" w:eastAsia="仿宋_GB2312"/>
          <w:b/>
          <w:bCs/>
          <w:spacing w:val="0"/>
          <w:sz w:val="32"/>
          <w:szCs w:val="32"/>
        </w:rPr>
        <w:t>一是财政收入稳步增长，财源质量持续提升。</w:t>
      </w:r>
      <w:r>
        <w:rPr>
          <w:rFonts w:hint="eastAsia" w:ascii="仿宋_GB2312" w:eastAsia="仿宋_GB2312"/>
          <w:spacing w:val="0"/>
          <w:sz w:val="32"/>
          <w:szCs w:val="32"/>
        </w:rPr>
        <w:t>“十四五”期间，全县一般公共预算收入累计完成15.92亿元，</w:t>
      </w:r>
      <w:bookmarkStart w:id="5" w:name="_Hlk219121105"/>
      <w:r>
        <w:rPr>
          <w:rFonts w:hint="eastAsia" w:ascii="仿宋_GB2312" w:eastAsia="仿宋_GB2312"/>
          <w:spacing w:val="0"/>
          <w:sz w:val="32"/>
          <w:szCs w:val="32"/>
        </w:rPr>
        <w:t>较“十三五”期间增加3.61亿元，同比增长29.32%</w:t>
      </w:r>
      <w:bookmarkEnd w:id="5"/>
      <w:r>
        <w:rPr>
          <w:rFonts w:hint="eastAsia" w:ascii="仿宋_GB2312" w:eastAsia="仿宋_GB2312"/>
          <w:spacing w:val="0"/>
          <w:sz w:val="32"/>
          <w:szCs w:val="32"/>
        </w:rPr>
        <w:t>。</w:t>
      </w:r>
      <w:r>
        <w:rPr>
          <w:rFonts w:hint="eastAsia" w:ascii="仿宋_GB2312" w:eastAsia="仿宋_GB2312"/>
          <w:b/>
          <w:bCs/>
          <w:spacing w:val="0"/>
          <w:sz w:val="32"/>
          <w:szCs w:val="32"/>
        </w:rPr>
        <w:t>二是向上争取成效显著，资金筹措效能凸显。</w:t>
      </w:r>
      <w:r>
        <w:rPr>
          <w:rFonts w:hint="eastAsia" w:ascii="仿宋_GB2312" w:eastAsia="仿宋_GB2312"/>
          <w:spacing w:val="0"/>
          <w:sz w:val="32"/>
          <w:szCs w:val="32"/>
        </w:rPr>
        <w:t>“十四五”期间，我县累计向上争取各类资金93.99亿元，较“十三五”期间增加15.83亿元，同比增长20.25%。</w:t>
      </w:r>
      <w:r>
        <w:rPr>
          <w:rFonts w:hint="eastAsia" w:ascii="仿宋_GB2312" w:eastAsia="仿宋_GB2312"/>
          <w:b/>
          <w:bCs/>
          <w:spacing w:val="0"/>
          <w:sz w:val="32"/>
          <w:szCs w:val="32"/>
        </w:rPr>
        <w:t>三是支出结构不断优化，保障能力持续增强。</w:t>
      </w:r>
      <w:bookmarkStart w:id="6" w:name="OLE_LINK3"/>
      <w:r>
        <w:rPr>
          <w:rFonts w:hint="eastAsia" w:ascii="仿宋_GB2312" w:eastAsia="仿宋_GB2312"/>
          <w:spacing w:val="0"/>
          <w:sz w:val="32"/>
          <w:szCs w:val="32"/>
        </w:rPr>
        <w:t>十四五”期间，全县财政支出累计完成92.88亿元，较“十三五”期间增加6.13亿元，同比增长7.07%；</w:t>
      </w:r>
      <w:bookmarkEnd w:id="6"/>
      <w:r>
        <w:rPr>
          <w:rFonts w:hint="eastAsia" w:ascii="仿宋_GB2312" w:eastAsia="仿宋_GB2312"/>
          <w:spacing w:val="0"/>
          <w:sz w:val="32"/>
          <w:szCs w:val="32"/>
        </w:rPr>
        <w:t>累计完成民生支出71.77亿元，民生支出占一般公共预算支出比重逐年提高，由2021年的71.88%提升至2025年的78.98%。</w:t>
      </w:r>
      <w:r>
        <w:rPr>
          <w:rFonts w:hint="eastAsia" w:ascii="仿宋_GB2312" w:eastAsia="仿宋_GB2312"/>
          <w:b/>
          <w:bCs/>
          <w:spacing w:val="0"/>
          <w:sz w:val="32"/>
          <w:szCs w:val="32"/>
        </w:rPr>
        <w:t>四是风险防控成效显著，财政运行稳健安全。</w:t>
      </w:r>
      <w:r>
        <w:rPr>
          <w:rFonts w:hint="eastAsia" w:ascii="仿宋_GB2312" w:eastAsia="仿宋_GB2312"/>
          <w:spacing w:val="0"/>
          <w:sz w:val="32"/>
          <w:szCs w:val="32"/>
        </w:rPr>
        <w:t>“十四五”期间，累计化解政府YX债务0.91亿元，实现政府YX债务清零；累计偿还政府法定债务4.25亿元，融资平台</w:t>
      </w:r>
      <w:r>
        <w:rPr>
          <w:rFonts w:hint="eastAsia" w:ascii="仿宋_GB2312" w:eastAsia="仿宋_GB2312"/>
          <w:spacing w:val="0"/>
          <w:sz w:val="32"/>
          <w:szCs w:val="32"/>
          <w:lang w:val="en-US" w:eastAsia="zh-CN"/>
        </w:rPr>
        <w:t>全部</w:t>
      </w:r>
      <w:r>
        <w:rPr>
          <w:rFonts w:hint="eastAsia" w:ascii="仿宋_GB2312" w:eastAsia="仿宋_GB2312"/>
          <w:spacing w:val="0"/>
          <w:sz w:val="32"/>
          <w:szCs w:val="32"/>
        </w:rPr>
        <w:t>退出管理序列，2025年末</w:t>
      </w:r>
      <w:bookmarkStart w:id="7" w:name="_Hlk218025183"/>
      <w:r>
        <w:rPr>
          <w:rFonts w:hint="eastAsia" w:ascii="仿宋_GB2312" w:eastAsia="仿宋_GB2312"/>
          <w:spacing w:val="0"/>
          <w:sz w:val="32"/>
          <w:szCs w:val="32"/>
        </w:rPr>
        <w:t>债务率为76.6%</w:t>
      </w:r>
      <w:bookmarkEnd w:id="7"/>
      <w:r>
        <w:rPr>
          <w:rFonts w:hint="eastAsia" w:ascii="仿宋_GB2312" w:eastAsia="仿宋_GB2312"/>
          <w:spacing w:val="0"/>
          <w:sz w:val="32"/>
          <w:szCs w:val="32"/>
        </w:rPr>
        <w:t>，</w:t>
      </w:r>
      <w:bookmarkStart w:id="8" w:name="_Hlk218025197"/>
      <w:r>
        <w:rPr>
          <w:rFonts w:hint="eastAsia" w:ascii="仿宋_GB2312" w:eastAsia="仿宋_GB2312"/>
          <w:spacing w:val="0"/>
          <w:sz w:val="32"/>
          <w:szCs w:val="32"/>
        </w:rPr>
        <w:t>债务风险等级始终保持绿色安全等级。</w:t>
      </w:r>
      <w:bookmarkEnd w:id="8"/>
    </w:p>
    <w:p w14:paraId="1CA705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仿宋_GB2312"/>
          <w:bCs/>
          <w:color w:val="000000" w:themeColor="text1"/>
          <w:spacing w:val="0"/>
          <w:sz w:val="32"/>
          <w:szCs w:val="32"/>
          <w14:textFill>
            <w14:solidFill>
              <w14:schemeClr w14:val="tx1"/>
            </w14:solidFill>
          </w14:textFill>
        </w:rPr>
      </w:pPr>
      <w:r>
        <w:rPr>
          <w:rFonts w:hint="eastAsia" w:ascii="仿宋_GB2312" w:eastAsia="仿宋_GB2312" w:cs="仿宋_GB2312"/>
          <w:bCs/>
          <w:color w:val="000000" w:themeColor="text1"/>
          <w:spacing w:val="0"/>
          <w:sz w:val="32"/>
          <w:szCs w:val="32"/>
          <w14:textFill>
            <w14:solidFill>
              <w14:schemeClr w14:val="tx1"/>
            </w14:solidFill>
          </w14:textFill>
        </w:rPr>
        <w:t>这些成绩的取得，是县委坚强领导、科学决策的结果，是县人大、县政协及代表委员们从严监督、大力指导的结果，是各部门凝心聚力、奋勇拼搏的结果。同时，我们也清醒地认识到，当前财政运行和预算管理工作还面临一些问题和挑战，主要是：</w:t>
      </w:r>
      <w:bookmarkStart w:id="9" w:name="_Hlk218014936"/>
      <w:r>
        <w:rPr>
          <w:rFonts w:hint="eastAsia" w:ascii="仿宋_GB2312" w:eastAsia="仿宋_GB2312" w:cs="仿宋_GB2312"/>
          <w:bCs/>
          <w:color w:val="000000" w:themeColor="text1"/>
          <w:spacing w:val="0"/>
          <w:sz w:val="32"/>
          <w:szCs w:val="32"/>
          <w14:textFill>
            <w14:solidFill>
              <w14:schemeClr w14:val="tx1"/>
            </w14:solidFill>
          </w14:textFill>
        </w:rPr>
        <w:t>财政收入增长乏力，刚性支出不断增多，收支矛盾异常突出；预算绩效管理结果运用不够，财经纪律约束需要进一步加强，财政资金效益仍需提高；</w:t>
      </w:r>
      <w:bookmarkEnd w:id="9"/>
      <w:r>
        <w:rPr>
          <w:rFonts w:hint="eastAsia" w:ascii="仿宋_GB2312" w:eastAsia="仿宋_GB2312" w:cs="仿宋_GB2312"/>
          <w:bCs/>
          <w:color w:val="000000" w:themeColor="text1"/>
          <w:spacing w:val="0"/>
          <w:sz w:val="32"/>
          <w:szCs w:val="32"/>
          <w14:textFill>
            <w14:solidFill>
              <w14:schemeClr w14:val="tx1"/>
            </w14:solidFill>
          </w14:textFill>
        </w:rPr>
        <w:t>一些单位落实“过紧日子”要求不够到位，大手大脚、铺张浪费现象依然存在；地方政府债务管理有待加强，专项债项目前期准备不足；国资国企规范化制度化管理有待进一步提升等。</w:t>
      </w:r>
      <w:r>
        <w:rPr>
          <w:rFonts w:hint="eastAsia" w:ascii="仿宋_GB2312" w:eastAsia="仿宋_GB2312"/>
          <w:color w:val="000000"/>
          <w:spacing w:val="0"/>
          <w:sz w:val="32"/>
        </w:rPr>
        <w:t>对此，</w:t>
      </w:r>
      <w:r>
        <w:rPr>
          <w:rFonts w:hint="eastAsia" w:ascii="仿宋_GB2312" w:eastAsia="仿宋_GB2312" w:cs="仿宋_GB2312"/>
          <w:bCs/>
          <w:color w:val="000000" w:themeColor="text1"/>
          <w:spacing w:val="0"/>
          <w:sz w:val="32"/>
          <w:szCs w:val="32"/>
          <w14:textFill>
            <w14:solidFill>
              <w14:schemeClr w14:val="tx1"/>
            </w14:solidFill>
          </w14:textFill>
        </w:rPr>
        <w:t>我们将高度重视，采取有效措施予以解决。</w:t>
      </w:r>
    </w:p>
    <w:p w14:paraId="4E8042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spacing w:val="0"/>
          <w:sz w:val="32"/>
          <w:szCs w:val="32"/>
        </w:rPr>
      </w:pPr>
      <w:r>
        <w:rPr>
          <w:rFonts w:hint="eastAsia" w:ascii="黑体" w:hAnsi="黑体" w:eastAsia="黑体" w:cs="黑体"/>
          <w:spacing w:val="0"/>
          <w:sz w:val="32"/>
          <w:szCs w:val="32"/>
        </w:rPr>
        <w:t>二、“十五五”时期财政工作总体思路和目标任务</w:t>
      </w:r>
    </w:p>
    <w:p w14:paraId="298177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spacing w:val="0"/>
          <w:sz w:val="32"/>
          <w:szCs w:val="32"/>
        </w:rPr>
      </w:pPr>
      <w:r>
        <w:rPr>
          <w:rFonts w:hint="eastAsia" w:ascii="仿宋_GB2312" w:eastAsia="仿宋_GB2312"/>
          <w:spacing w:val="0"/>
          <w:sz w:val="32"/>
          <w:szCs w:val="32"/>
        </w:rPr>
        <w:t>综合分析，</w:t>
      </w:r>
      <w:bookmarkStart w:id="10" w:name="OLE_LINK7"/>
      <w:r>
        <w:rPr>
          <w:rFonts w:hint="eastAsia" w:ascii="仿宋_GB2312" w:eastAsia="仿宋_GB2312"/>
          <w:spacing w:val="0"/>
          <w:sz w:val="32"/>
          <w:szCs w:val="32"/>
        </w:rPr>
        <w:t>“十五五”时期财政工作机遇与挑战并存</w:t>
      </w:r>
      <w:bookmarkEnd w:id="10"/>
      <w:r>
        <w:rPr>
          <w:rFonts w:hint="eastAsia" w:ascii="仿宋_GB2312" w:eastAsia="仿宋_GB2312"/>
          <w:spacing w:val="0"/>
          <w:sz w:val="32"/>
          <w:szCs w:val="32"/>
        </w:rPr>
        <w:t>，总体上仍然处于国家财政政策利好于地方经济社会发展的难得机遇期，仍然处于财政改革发展提质增效的关键期。中央经济工作会议、财政工作会议确定</w:t>
      </w:r>
      <w:r>
        <w:rPr>
          <w:rFonts w:hint="eastAsia" w:ascii="仿宋_GB2312" w:eastAsia="仿宋_GB2312"/>
          <w:bCs/>
          <w:spacing w:val="0"/>
          <w:sz w:val="32"/>
          <w:szCs w:val="32"/>
        </w:rPr>
        <w:t>继续实施更加积极的财政政策，增</w:t>
      </w:r>
      <w:r>
        <w:rPr>
          <w:rFonts w:hint="eastAsia" w:ascii="仿宋_GB2312" w:eastAsia="仿宋_GB2312"/>
          <w:bCs/>
          <w:spacing w:val="0"/>
          <w:sz w:val="32"/>
          <w:szCs w:val="32"/>
          <w:lang w:val="en-US" w:eastAsia="zh-CN"/>
        </w:rPr>
        <w:t>加</w:t>
      </w:r>
      <w:r>
        <w:rPr>
          <w:rFonts w:hint="eastAsia" w:ascii="仿宋_GB2312" w:eastAsia="仿宋_GB2312"/>
          <w:bCs/>
          <w:spacing w:val="0"/>
          <w:sz w:val="32"/>
          <w:szCs w:val="32"/>
        </w:rPr>
        <w:t>超长期特别国债，重点支持“两重”项目（重大工程、重点项目）与“两新”政策（新质生产力、新型城镇化）落地；省级层面出台各民族共同富裕先行示范区财税改革、资金倾斜、项目优先等配套政策，“十五五”期间资金规模与项目覆盖面将持续扩大；省、市推进预算绩效管理、零基预算等改革，深化“财政+国资”“财政+金融”协同模式，强化国有资产监管，</w:t>
      </w:r>
      <w:r>
        <w:rPr>
          <w:rFonts w:ascii="仿宋_GB2312" w:eastAsia="仿宋_GB2312"/>
          <w:bCs/>
          <w:spacing w:val="0"/>
          <w:sz w:val="32"/>
          <w:szCs w:val="32"/>
        </w:rPr>
        <w:t>提升资金使用效率</w:t>
      </w:r>
      <w:r>
        <w:rPr>
          <w:rFonts w:hint="eastAsia" w:ascii="仿宋_GB2312" w:eastAsia="仿宋_GB2312"/>
          <w:bCs/>
          <w:spacing w:val="0"/>
          <w:sz w:val="32"/>
          <w:szCs w:val="32"/>
        </w:rPr>
        <w:t>。这些为我们做好新时期财政工作创造了良好条件。</w:t>
      </w:r>
    </w:p>
    <w:p w14:paraId="66CA18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pacing w:val="0"/>
          <w:sz w:val="32"/>
          <w:szCs w:val="32"/>
        </w:rPr>
      </w:pPr>
      <w:r>
        <w:rPr>
          <w:rFonts w:hint="eastAsia" w:ascii="仿宋_GB2312" w:eastAsia="仿宋_GB2312"/>
          <w:b/>
          <w:spacing w:val="0"/>
          <w:sz w:val="32"/>
          <w:szCs w:val="32"/>
        </w:rPr>
        <w:t>“十五五”时期财政工作的总体思路：</w:t>
      </w:r>
      <w:r>
        <w:rPr>
          <w:rFonts w:hint="eastAsia" w:ascii="仿宋_GB2312" w:eastAsia="仿宋_GB2312"/>
          <w:spacing w:val="0"/>
          <w:sz w:val="32"/>
          <w:szCs w:val="32"/>
        </w:rPr>
        <w:t>以习近平新时代中国特色社会主义思想为指导，坚持稳中求进工作总基调，以推动高质量发展为主题，更好统筹发展和安全，继续实施更加积极的财政政策，抢抓国家省上政策机遇争取项目资金，全力服务县委重大决策部署，强化财政资源和预算统筹，加大财政支出强度，优化财政支出结构，加强重点领域保障，兜牢基层“三保”底线，狠抓地方债务管理，严肃财经纪律，提升资金使用效益和政策效能，落实深化财税体制改革部署，推动经济社会高质量发展。</w:t>
      </w:r>
    </w:p>
    <w:p w14:paraId="722D8A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pacing w:val="0"/>
          <w:sz w:val="32"/>
          <w:szCs w:val="32"/>
        </w:rPr>
      </w:pPr>
      <w:r>
        <w:rPr>
          <w:rFonts w:hint="eastAsia" w:ascii="仿宋_GB2312" w:eastAsia="仿宋_GB2312"/>
          <w:b/>
          <w:spacing w:val="0"/>
          <w:sz w:val="32"/>
          <w:szCs w:val="32"/>
        </w:rPr>
        <w:t>“十五五”</w:t>
      </w:r>
      <w:r>
        <w:rPr>
          <w:rFonts w:hint="eastAsia" w:ascii="仿宋_GB2312" w:eastAsia="仿宋_GB2312"/>
          <w:b/>
          <w:spacing w:val="0"/>
          <w:sz w:val="32"/>
          <w:szCs w:val="32"/>
          <w:lang w:val="en-US" w:eastAsia="zh-CN"/>
        </w:rPr>
        <w:t>时期</w:t>
      </w:r>
      <w:r>
        <w:rPr>
          <w:rFonts w:hint="eastAsia" w:ascii="仿宋_GB2312" w:eastAsia="仿宋_GB2312"/>
          <w:b/>
          <w:spacing w:val="0"/>
          <w:sz w:val="32"/>
          <w:szCs w:val="32"/>
        </w:rPr>
        <w:t>财政工作主要目标任务：</w:t>
      </w:r>
      <w:r>
        <w:rPr>
          <w:rFonts w:hint="eastAsia" w:ascii="仿宋_GB2312" w:eastAsia="仿宋_GB2312"/>
          <w:spacing w:val="0"/>
          <w:sz w:val="32"/>
          <w:szCs w:val="32"/>
        </w:rPr>
        <w:t>落实</w:t>
      </w:r>
      <w:r>
        <w:rPr>
          <w:rFonts w:hint="eastAsia" w:ascii="仿宋_GB2312" w:eastAsia="仿宋_GB2312"/>
          <w:spacing w:val="0"/>
          <w:sz w:val="32"/>
          <w:szCs w:val="32"/>
          <w:lang w:val="en-US" w:eastAsia="zh-CN"/>
        </w:rPr>
        <w:t>全县</w:t>
      </w:r>
      <w:r>
        <w:rPr>
          <w:rFonts w:hint="eastAsia" w:ascii="仿宋_GB2312" w:eastAsia="仿宋_GB2312"/>
          <w:spacing w:val="0"/>
          <w:sz w:val="32"/>
          <w:szCs w:val="32"/>
        </w:rPr>
        <w:t>国民经济和社会发展第十五个五年规划纲要，确保财政收入增长与地区生产总值增长保持同步，到2030年，力争全县一般公共预算收入达到4.85亿元，财政支出结构进一步优化，财政支出80%左右用于民生事业，2028年实现财政暂付款清零目标任务，政府债务风险等级控制在绿色安全等级，预算管理制度不断完善，支出标准体系不断健全，财政数字化水平明显提高</w:t>
      </w:r>
      <w:r>
        <w:rPr>
          <w:rFonts w:hint="eastAsia" w:ascii="仿宋_GB2312" w:eastAsia="仿宋_GB2312"/>
          <w:spacing w:val="0"/>
          <w:sz w:val="32"/>
          <w:szCs w:val="32"/>
          <w:lang w:eastAsia="zh-CN"/>
        </w:rPr>
        <w:t>，</w:t>
      </w:r>
      <w:r>
        <w:rPr>
          <w:rFonts w:hint="eastAsia" w:ascii="仿宋_GB2312" w:eastAsia="仿宋_GB2312"/>
          <w:spacing w:val="0"/>
          <w:sz w:val="32"/>
          <w:szCs w:val="32"/>
        </w:rPr>
        <w:t>“财政+国资”“财政+金融”政策协同效应更加有力，财税体制改革有效推进，财政治理效能显著提升。</w:t>
      </w:r>
    </w:p>
    <w:p w14:paraId="581C0D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eastAsia="黑体" w:cs="黑体"/>
          <w:color w:val="000000" w:themeColor="text1"/>
          <w:spacing w:val="0"/>
          <w:sz w:val="32"/>
          <w:szCs w:val="32"/>
          <w14:textFill>
            <w14:solidFill>
              <w14:schemeClr w14:val="tx1"/>
            </w14:solidFill>
          </w14:textFill>
        </w:rPr>
      </w:pPr>
      <w:r>
        <w:rPr>
          <w:rFonts w:hint="eastAsia" w:ascii="黑体" w:eastAsia="黑体" w:cs="黑体"/>
          <w:color w:val="000000" w:themeColor="text1"/>
          <w:spacing w:val="0"/>
          <w:sz w:val="32"/>
          <w:szCs w:val="32"/>
          <w14:textFill>
            <w14:solidFill>
              <w14:schemeClr w14:val="tx1"/>
            </w14:solidFill>
          </w14:textFill>
        </w:rPr>
        <w:t>三、2026年县级财政预算（草案）</w:t>
      </w:r>
    </w:p>
    <w:p w14:paraId="473D4B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spacing w:val="0"/>
        </w:rPr>
      </w:pPr>
      <w:r>
        <w:rPr>
          <w:rFonts w:hint="eastAsia" w:ascii="楷体_GB2312" w:eastAsia="楷体_GB2312" w:cs="楷体_GB2312"/>
          <w:b/>
          <w:bCs/>
          <w:color w:val="000000" w:themeColor="text1"/>
          <w:spacing w:val="0"/>
          <w:sz w:val="32"/>
          <w:szCs w:val="32"/>
          <w14:textFill>
            <w14:solidFill>
              <w14:schemeClr w14:val="tx1"/>
            </w14:solidFill>
          </w14:textFill>
        </w:rPr>
        <w:t>（一）2026年预算编制基本原则</w:t>
      </w:r>
    </w:p>
    <w:p w14:paraId="1589FD5C">
      <w:pPr>
        <w:pStyle w:val="11"/>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Calibri" w:eastAsia="仿宋_GB2312" w:cs="Calibri"/>
          <w:color w:val="000000"/>
          <w:spacing w:val="0"/>
          <w:kern w:val="2"/>
          <w:sz w:val="32"/>
          <w:szCs w:val="21"/>
        </w:rPr>
      </w:pPr>
      <w:r>
        <w:rPr>
          <w:rFonts w:hint="eastAsia" w:ascii="仿宋_GB2312" w:hAnsi="Calibri" w:eastAsia="仿宋_GB2312" w:cs="Calibri"/>
          <w:color w:val="000000"/>
          <w:spacing w:val="0"/>
          <w:kern w:val="2"/>
          <w:sz w:val="32"/>
          <w:szCs w:val="21"/>
        </w:rPr>
        <w:t>做好2026年预算编制工作，需要重点把握好以下原则：</w:t>
      </w:r>
      <w:r>
        <w:rPr>
          <w:rFonts w:hint="eastAsia" w:ascii="仿宋_GB2312" w:hAnsi="Calibri" w:eastAsia="仿宋_GB2312" w:cs="Calibri"/>
          <w:b/>
          <w:bCs/>
          <w:color w:val="000000"/>
          <w:spacing w:val="0"/>
          <w:kern w:val="2"/>
          <w:sz w:val="32"/>
          <w:szCs w:val="21"/>
        </w:rPr>
        <w:t>一是</w:t>
      </w:r>
      <w:bookmarkStart w:id="11" w:name="OLE_LINK2"/>
      <w:r>
        <w:rPr>
          <w:rFonts w:hint="eastAsia" w:ascii="仿宋_GB2312" w:hAnsi="Calibri" w:eastAsia="仿宋_GB2312" w:cs="Calibri"/>
          <w:color w:val="000000"/>
          <w:spacing w:val="0"/>
          <w:kern w:val="2"/>
          <w:sz w:val="32"/>
          <w:szCs w:val="21"/>
        </w:rPr>
        <w:t>全面落实“过紧日子”要求，树牢“过紧日子”理念，</w:t>
      </w:r>
      <w:bookmarkEnd w:id="11"/>
      <w:r>
        <w:rPr>
          <w:rFonts w:hint="eastAsia" w:ascii="仿宋_GB2312" w:hAnsi="Calibri" w:eastAsia="仿宋_GB2312" w:cs="Calibri"/>
          <w:color w:val="000000"/>
          <w:spacing w:val="0"/>
          <w:kern w:val="2"/>
          <w:sz w:val="32"/>
          <w:szCs w:val="21"/>
        </w:rPr>
        <w:t>全面加强财政资金管理。</w:t>
      </w:r>
      <w:r>
        <w:rPr>
          <w:rFonts w:hint="eastAsia" w:ascii="仿宋_GB2312" w:hAnsi="Calibri" w:eastAsia="仿宋_GB2312" w:cs="Calibri"/>
          <w:b/>
          <w:bCs/>
          <w:color w:val="000000"/>
          <w:spacing w:val="0"/>
          <w:kern w:val="2"/>
          <w:sz w:val="32"/>
          <w:szCs w:val="21"/>
        </w:rPr>
        <w:t>二是</w:t>
      </w:r>
      <w:r>
        <w:rPr>
          <w:rFonts w:hint="eastAsia" w:ascii="仿宋_GB2312" w:hAnsi="Calibri" w:eastAsia="仿宋_GB2312" w:cs="Calibri"/>
          <w:color w:val="000000"/>
          <w:spacing w:val="0"/>
          <w:kern w:val="2"/>
          <w:sz w:val="32"/>
          <w:szCs w:val="21"/>
        </w:rPr>
        <w:t>全面深化零基预算</w:t>
      </w:r>
      <w:r>
        <w:rPr>
          <w:rFonts w:hint="eastAsia" w:ascii="仿宋_GB2312" w:hAnsi="Calibri" w:eastAsia="仿宋_GB2312" w:cs="Calibri"/>
          <w:color w:val="000000"/>
          <w:spacing w:val="0"/>
          <w:kern w:val="2"/>
          <w:sz w:val="32"/>
          <w:szCs w:val="21"/>
          <w:lang w:val="en-US" w:eastAsia="zh-CN"/>
        </w:rPr>
        <w:t>改革</w:t>
      </w:r>
      <w:r>
        <w:rPr>
          <w:rFonts w:hint="eastAsia" w:ascii="仿宋_GB2312" w:hAnsi="Calibri" w:eastAsia="仿宋_GB2312" w:cs="Calibri"/>
          <w:color w:val="000000"/>
          <w:spacing w:val="0"/>
          <w:kern w:val="2"/>
          <w:sz w:val="32"/>
          <w:szCs w:val="21"/>
        </w:rPr>
        <w:t>，充分考虑财政支出负担和财政承受能力，打破基数、从零开始、有保有压。</w:t>
      </w:r>
      <w:r>
        <w:rPr>
          <w:rFonts w:hint="eastAsia" w:ascii="仿宋_GB2312" w:hAnsi="Calibri" w:eastAsia="仿宋_GB2312" w:cs="Calibri"/>
          <w:b/>
          <w:bCs/>
          <w:color w:val="000000"/>
          <w:spacing w:val="0"/>
          <w:kern w:val="2"/>
          <w:sz w:val="32"/>
          <w:szCs w:val="21"/>
        </w:rPr>
        <w:t>三是</w:t>
      </w:r>
      <w:r>
        <w:rPr>
          <w:rFonts w:hint="eastAsia" w:ascii="仿宋_GB2312" w:hAnsi="Calibri" w:eastAsia="仿宋_GB2312" w:cs="Calibri"/>
          <w:color w:val="000000"/>
          <w:spacing w:val="0"/>
          <w:kern w:val="2"/>
          <w:sz w:val="32"/>
          <w:szCs w:val="21"/>
        </w:rPr>
        <w:t>全面推进全过程预算绩效管理，硬化责任约束、强化结果应用，推动财政资金提质增效。</w:t>
      </w:r>
      <w:r>
        <w:rPr>
          <w:rFonts w:hint="eastAsia" w:ascii="仿宋_GB2312" w:hAnsi="Calibri" w:eastAsia="仿宋_GB2312" w:cs="Calibri"/>
          <w:b/>
          <w:bCs/>
          <w:color w:val="000000"/>
          <w:spacing w:val="0"/>
          <w:kern w:val="2"/>
          <w:sz w:val="32"/>
          <w:szCs w:val="21"/>
        </w:rPr>
        <w:t>四是</w:t>
      </w:r>
      <w:r>
        <w:rPr>
          <w:rFonts w:hint="eastAsia" w:ascii="仿宋_GB2312" w:hAnsi="Calibri" w:eastAsia="仿宋_GB2312" w:cs="Calibri"/>
          <w:color w:val="000000"/>
          <w:spacing w:val="0"/>
          <w:kern w:val="2"/>
          <w:sz w:val="32"/>
          <w:szCs w:val="21"/>
        </w:rPr>
        <w:t>全面加强国有资产管理，加快低效资产盘活处置，严格资产配置管理，最大限度发挥资产效益。</w:t>
      </w:r>
    </w:p>
    <w:p w14:paraId="69C95E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_GB2312" w:eastAsia="楷体_GB2312" w:cs="楷体_GB2312"/>
          <w:b/>
          <w:bCs/>
          <w:color w:val="000000" w:themeColor="text1"/>
          <w:spacing w:val="0"/>
          <w:sz w:val="32"/>
          <w:szCs w:val="32"/>
          <w14:textFill>
            <w14:solidFill>
              <w14:schemeClr w14:val="tx1"/>
            </w14:solidFill>
          </w14:textFill>
        </w:rPr>
      </w:pPr>
      <w:r>
        <w:rPr>
          <w:rFonts w:hint="eastAsia" w:ascii="楷体_GB2312" w:eastAsia="楷体_GB2312" w:cs="楷体_GB2312"/>
          <w:b/>
          <w:bCs/>
          <w:color w:val="000000" w:themeColor="text1"/>
          <w:spacing w:val="0"/>
          <w:sz w:val="32"/>
          <w:szCs w:val="32"/>
          <w14:textFill>
            <w14:solidFill>
              <w14:schemeClr w14:val="tx1"/>
            </w14:solidFill>
          </w14:textFill>
        </w:rPr>
        <w:t>（二）2026年县级财政预算（草案）</w:t>
      </w:r>
    </w:p>
    <w:p w14:paraId="6D3D46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仿宋_GB2312"/>
          <w:color w:val="000000" w:themeColor="text1"/>
          <w:spacing w:val="0"/>
          <w:sz w:val="32"/>
          <w:szCs w:val="32"/>
          <w14:textFill>
            <w14:solidFill>
              <w14:schemeClr w14:val="tx1"/>
            </w14:solidFill>
          </w14:textFill>
        </w:rPr>
      </w:pPr>
      <w:r>
        <w:rPr>
          <w:rFonts w:hint="eastAsia" w:ascii="仿宋_GB2312" w:eastAsia="仿宋_GB2312" w:cs="仿宋_GB2312"/>
          <w:b/>
          <w:bCs/>
          <w:color w:val="000000" w:themeColor="text1"/>
          <w:spacing w:val="0"/>
          <w:sz w:val="32"/>
          <w:szCs w:val="32"/>
          <w14:textFill>
            <w14:solidFill>
              <w14:schemeClr w14:val="tx1"/>
            </w14:solidFill>
          </w14:textFill>
        </w:rPr>
        <w:t>1.一般公共预算。</w:t>
      </w:r>
      <w:r>
        <w:rPr>
          <w:rFonts w:hint="eastAsia" w:ascii="仿宋_GB2312" w:eastAsia="仿宋_GB2312" w:cs="仿宋_GB2312"/>
          <w:color w:val="000000" w:themeColor="text1"/>
          <w:spacing w:val="0"/>
          <w:sz w:val="32"/>
          <w:szCs w:val="32"/>
          <w14:textFill>
            <w14:solidFill>
              <w14:schemeClr w14:val="tx1"/>
            </w14:solidFill>
          </w14:textFill>
        </w:rPr>
        <w:t>建议县级一般公共预算收入同口径增长6%，达到38520万元，加上级</w:t>
      </w:r>
      <w:r>
        <w:rPr>
          <w:rFonts w:ascii="仿宋_GB2312" w:eastAsia="仿宋_GB2312" w:cs="仿宋_GB2312"/>
          <w:color w:val="000000" w:themeColor="text1"/>
          <w:spacing w:val="0"/>
          <w:sz w:val="32"/>
          <w:szCs w:val="32"/>
          <w14:textFill>
            <w14:solidFill>
              <w14:schemeClr w14:val="tx1"/>
            </w14:solidFill>
          </w14:textFill>
        </w:rPr>
        <w:t>各类</w:t>
      </w:r>
      <w:r>
        <w:rPr>
          <w:rFonts w:hint="eastAsia" w:ascii="仿宋_GB2312" w:eastAsia="仿宋_GB2312" w:cs="仿宋_GB2312"/>
          <w:color w:val="000000" w:themeColor="text1"/>
          <w:spacing w:val="0"/>
          <w:sz w:val="32"/>
          <w:szCs w:val="32"/>
          <w14:textFill>
            <w14:solidFill>
              <w14:schemeClr w14:val="tx1"/>
            </w14:solidFill>
          </w14:textFill>
        </w:rPr>
        <w:t>转移</w:t>
      </w:r>
      <w:r>
        <w:rPr>
          <w:rFonts w:ascii="仿宋_GB2312" w:eastAsia="仿宋_GB2312" w:cs="仿宋_GB2312"/>
          <w:color w:val="000000" w:themeColor="text1"/>
          <w:spacing w:val="0"/>
          <w:sz w:val="32"/>
          <w:szCs w:val="32"/>
          <w14:textFill>
            <w14:solidFill>
              <w14:schemeClr w14:val="tx1"/>
            </w14:solidFill>
          </w14:textFill>
        </w:rPr>
        <w:t>性补助收入</w:t>
      </w:r>
      <w:r>
        <w:rPr>
          <w:rFonts w:hint="eastAsia" w:ascii="仿宋_GB2312" w:eastAsia="仿宋_GB2312" w:cs="仿宋_GB2312"/>
          <w:color w:val="000000" w:themeColor="text1"/>
          <w:spacing w:val="0"/>
          <w:sz w:val="32"/>
          <w:szCs w:val="32"/>
          <w:lang w:val="en-US" w:eastAsia="zh-CN"/>
          <w14:textFill>
            <w14:solidFill>
              <w14:schemeClr w14:val="tx1"/>
            </w14:solidFill>
          </w14:textFill>
        </w:rPr>
        <w:t>118723</w:t>
      </w:r>
      <w:r>
        <w:rPr>
          <w:rFonts w:hint="eastAsia" w:ascii="仿宋_GB2312" w:eastAsia="仿宋_GB2312" w:cs="仿宋_GB2312"/>
          <w:color w:val="000000" w:themeColor="text1"/>
          <w:spacing w:val="0"/>
          <w:sz w:val="32"/>
          <w:szCs w:val="32"/>
          <w14:textFill>
            <w14:solidFill>
              <w14:schemeClr w14:val="tx1"/>
            </w14:solidFill>
          </w14:textFill>
        </w:rPr>
        <w:t>万元、</w:t>
      </w:r>
      <w:r>
        <w:rPr>
          <w:rFonts w:ascii="仿宋_GB2312" w:eastAsia="仿宋_GB2312" w:cs="仿宋_GB2312"/>
          <w:color w:val="000000" w:themeColor="text1"/>
          <w:spacing w:val="0"/>
          <w:sz w:val="32"/>
          <w:szCs w:val="32"/>
          <w14:textFill>
            <w14:solidFill>
              <w14:schemeClr w14:val="tx1"/>
            </w14:solidFill>
          </w14:textFill>
        </w:rPr>
        <w:t>上年结转</w:t>
      </w:r>
      <w:r>
        <w:rPr>
          <w:rFonts w:hint="eastAsia" w:ascii="仿宋_GB2312" w:eastAsia="仿宋_GB2312" w:cs="仿宋_GB2312"/>
          <w:color w:val="000000" w:themeColor="text1"/>
          <w:spacing w:val="0"/>
          <w:sz w:val="32"/>
          <w:szCs w:val="32"/>
          <w14:textFill>
            <w14:solidFill>
              <w14:schemeClr w14:val="tx1"/>
            </w14:solidFill>
          </w14:textFill>
        </w:rPr>
        <w:t>结余</w:t>
      </w:r>
      <w:r>
        <w:rPr>
          <w:rFonts w:ascii="仿宋_GB2312" w:eastAsia="仿宋_GB2312" w:cs="仿宋_GB2312"/>
          <w:color w:val="000000" w:themeColor="text1"/>
          <w:spacing w:val="0"/>
          <w:sz w:val="32"/>
          <w:szCs w:val="32"/>
          <w14:textFill>
            <w14:solidFill>
              <w14:schemeClr w14:val="tx1"/>
            </w14:solidFill>
          </w14:textFill>
        </w:rPr>
        <w:t>收入</w:t>
      </w:r>
      <w:r>
        <w:rPr>
          <w:rFonts w:hint="eastAsia" w:ascii="仿宋_GB2312" w:eastAsia="仿宋_GB2312" w:cs="仿宋_GB2312"/>
          <w:color w:val="000000" w:themeColor="text1"/>
          <w:spacing w:val="0"/>
          <w:sz w:val="32"/>
          <w:szCs w:val="32"/>
          <w:lang w:val="en-US" w:eastAsia="zh-CN"/>
          <w14:textFill>
            <w14:solidFill>
              <w14:schemeClr w14:val="tx1"/>
            </w14:solidFill>
          </w14:textFill>
        </w:rPr>
        <w:t>35451</w:t>
      </w:r>
      <w:r>
        <w:rPr>
          <w:rFonts w:hint="eastAsia" w:ascii="仿宋_GB2312" w:eastAsia="仿宋_GB2312" w:cs="仿宋_GB2312"/>
          <w:color w:val="000000" w:themeColor="text1"/>
          <w:spacing w:val="0"/>
          <w:sz w:val="32"/>
          <w:szCs w:val="32"/>
          <w14:textFill>
            <w14:solidFill>
              <w14:schemeClr w14:val="tx1"/>
            </w14:solidFill>
          </w14:textFill>
        </w:rPr>
        <w:t>万元，动用预算稳定调节基金</w:t>
      </w:r>
      <w:r>
        <w:rPr>
          <w:rFonts w:hint="eastAsia" w:ascii="仿宋_GB2312" w:eastAsia="仿宋_GB2312" w:cs="仿宋_GB2312"/>
          <w:color w:val="000000" w:themeColor="text1"/>
          <w:spacing w:val="0"/>
          <w:sz w:val="32"/>
          <w:szCs w:val="32"/>
          <w:lang w:val="en-US" w:eastAsia="zh-CN"/>
          <w14:textFill>
            <w14:solidFill>
              <w14:schemeClr w14:val="tx1"/>
            </w14:solidFill>
          </w14:textFill>
        </w:rPr>
        <w:t>4451</w:t>
      </w:r>
      <w:r>
        <w:rPr>
          <w:rFonts w:hint="eastAsia" w:ascii="仿宋_GB2312" w:eastAsia="仿宋_GB2312" w:cs="仿宋_GB2312"/>
          <w:color w:val="000000" w:themeColor="text1"/>
          <w:spacing w:val="0"/>
          <w:sz w:val="32"/>
          <w:szCs w:val="32"/>
          <w14:textFill>
            <w14:solidFill>
              <w14:schemeClr w14:val="tx1"/>
            </w14:solidFill>
          </w14:textFill>
        </w:rPr>
        <w:t>万元，</w:t>
      </w:r>
      <w:r>
        <w:rPr>
          <w:rFonts w:ascii="仿宋_GB2312" w:eastAsia="仿宋_GB2312" w:cs="仿宋_GB2312"/>
          <w:color w:val="000000" w:themeColor="text1"/>
          <w:spacing w:val="0"/>
          <w:sz w:val="32"/>
          <w:szCs w:val="32"/>
          <w14:textFill>
            <w14:solidFill>
              <w14:schemeClr w14:val="tx1"/>
            </w14:solidFill>
          </w14:textFill>
        </w:rPr>
        <w:t>一般公共预算收入</w:t>
      </w:r>
      <w:r>
        <w:rPr>
          <w:rFonts w:hint="eastAsia" w:ascii="仿宋_GB2312" w:eastAsia="仿宋_GB2312" w:cs="仿宋_GB2312"/>
          <w:color w:val="000000" w:themeColor="text1"/>
          <w:spacing w:val="0"/>
          <w:sz w:val="32"/>
          <w:szCs w:val="32"/>
          <w14:textFill>
            <w14:solidFill>
              <w14:schemeClr w14:val="tx1"/>
            </w14:solidFill>
          </w14:textFill>
        </w:rPr>
        <w:t>总量</w:t>
      </w:r>
      <w:r>
        <w:rPr>
          <w:rFonts w:hint="eastAsia" w:ascii="仿宋_GB2312" w:eastAsia="仿宋_GB2312" w:cs="仿宋_GB2312"/>
          <w:color w:val="000000" w:themeColor="text1"/>
          <w:spacing w:val="0"/>
          <w:sz w:val="32"/>
          <w:szCs w:val="32"/>
          <w:lang w:val="en-US" w:eastAsia="zh-CN"/>
          <w14:textFill>
            <w14:solidFill>
              <w14:schemeClr w14:val="tx1"/>
            </w14:solidFill>
          </w14:textFill>
        </w:rPr>
        <w:t>197145</w:t>
      </w:r>
      <w:r>
        <w:rPr>
          <w:rFonts w:hint="eastAsia" w:ascii="仿宋_GB2312" w:eastAsia="仿宋_GB2312" w:cs="仿宋_GB2312"/>
          <w:color w:val="000000" w:themeColor="text1"/>
          <w:spacing w:val="0"/>
          <w:sz w:val="32"/>
          <w:szCs w:val="32"/>
          <w14:textFill>
            <w14:solidFill>
              <w14:schemeClr w14:val="tx1"/>
            </w14:solidFill>
          </w14:textFill>
        </w:rPr>
        <w:t>万元。</w:t>
      </w:r>
      <w:r>
        <w:rPr>
          <w:rFonts w:ascii="仿宋_GB2312" w:eastAsia="仿宋_GB2312" w:cs="仿宋_GB2312"/>
          <w:color w:val="000000" w:themeColor="text1"/>
          <w:spacing w:val="0"/>
          <w:sz w:val="32"/>
          <w:szCs w:val="32"/>
          <w14:textFill>
            <w14:solidFill>
              <w14:schemeClr w14:val="tx1"/>
            </w14:solidFill>
          </w14:textFill>
        </w:rPr>
        <w:t>按照收支平衡原则，收入总量扣除上解上级支出</w:t>
      </w:r>
      <w:r>
        <w:rPr>
          <w:rFonts w:hint="eastAsia" w:ascii="仿宋_GB2312" w:eastAsia="仿宋_GB2312" w:cs="仿宋_GB2312"/>
          <w:color w:val="000000" w:themeColor="text1"/>
          <w:spacing w:val="0"/>
          <w:sz w:val="32"/>
          <w:szCs w:val="32"/>
          <w14:textFill>
            <w14:solidFill>
              <w14:schemeClr w14:val="tx1"/>
            </w14:solidFill>
          </w14:textFill>
        </w:rPr>
        <w:t>7154万元、一般债务还本支出4320万元后，全县一般公共预算支出</w:t>
      </w:r>
      <w:r>
        <w:rPr>
          <w:rFonts w:hint="eastAsia" w:ascii="仿宋_GB2312" w:eastAsia="仿宋_GB2312" w:cs="仿宋_GB2312"/>
          <w:color w:val="000000" w:themeColor="text1"/>
          <w:spacing w:val="0"/>
          <w:sz w:val="32"/>
          <w:szCs w:val="32"/>
          <w:lang w:val="en-US" w:eastAsia="zh-CN"/>
          <w14:textFill>
            <w14:solidFill>
              <w14:schemeClr w14:val="tx1"/>
            </w14:solidFill>
          </w14:textFill>
        </w:rPr>
        <w:t>185671</w:t>
      </w:r>
      <w:r>
        <w:rPr>
          <w:rFonts w:hint="eastAsia" w:ascii="仿宋_GB2312" w:eastAsia="仿宋_GB2312" w:cs="仿宋_GB2312"/>
          <w:color w:val="000000" w:themeColor="text1"/>
          <w:spacing w:val="0"/>
          <w:sz w:val="32"/>
          <w:szCs w:val="32"/>
          <w14:textFill>
            <w14:solidFill>
              <w14:schemeClr w14:val="tx1"/>
            </w14:solidFill>
          </w14:textFill>
        </w:rPr>
        <w:t>万元（其中，县本级财力安排</w:t>
      </w:r>
      <w:r>
        <w:rPr>
          <w:rFonts w:hint="eastAsia" w:ascii="仿宋_GB2312" w:eastAsia="仿宋_GB2312" w:cs="仿宋_GB2312"/>
          <w:color w:val="000000" w:themeColor="text1"/>
          <w:spacing w:val="0"/>
          <w:sz w:val="32"/>
          <w:szCs w:val="32"/>
          <w:lang w:val="en-US" w:eastAsia="zh-CN"/>
          <w14:textFill>
            <w14:solidFill>
              <w14:schemeClr w14:val="tx1"/>
            </w14:solidFill>
          </w14:textFill>
        </w:rPr>
        <w:t>107259</w:t>
      </w:r>
      <w:r>
        <w:rPr>
          <w:rFonts w:hint="eastAsia" w:ascii="仿宋_GB2312" w:eastAsia="仿宋_GB2312" w:cs="仿宋_GB2312"/>
          <w:color w:val="000000" w:themeColor="text1"/>
          <w:spacing w:val="0"/>
          <w:sz w:val="32"/>
          <w:szCs w:val="32"/>
          <w14:textFill>
            <w14:solidFill>
              <w14:schemeClr w14:val="tx1"/>
            </w14:solidFill>
          </w14:textFill>
        </w:rPr>
        <w:t>万元，上级财政提前下达的共同财政事权转移支付和专项转移支付支出</w:t>
      </w:r>
      <w:r>
        <w:rPr>
          <w:rFonts w:hint="eastAsia" w:ascii="仿宋_GB2312" w:eastAsia="仿宋_GB2312" w:cs="仿宋_GB2312"/>
          <w:color w:val="000000" w:themeColor="text1"/>
          <w:spacing w:val="0"/>
          <w:sz w:val="32"/>
          <w:szCs w:val="32"/>
          <w:lang w:val="en-US" w:eastAsia="zh-CN"/>
          <w14:textFill>
            <w14:solidFill>
              <w14:schemeClr w14:val="tx1"/>
            </w14:solidFill>
          </w14:textFill>
        </w:rPr>
        <w:t>42961</w:t>
      </w:r>
      <w:r>
        <w:rPr>
          <w:rFonts w:hint="eastAsia" w:ascii="仿宋_GB2312" w:eastAsia="仿宋_GB2312" w:cs="仿宋_GB2312"/>
          <w:color w:val="000000" w:themeColor="text1"/>
          <w:spacing w:val="0"/>
          <w:sz w:val="32"/>
          <w:szCs w:val="32"/>
          <w14:textFill>
            <w14:solidFill>
              <w14:schemeClr w14:val="tx1"/>
            </w14:solidFill>
          </w14:textFill>
        </w:rPr>
        <w:t>万元，上年结转支出</w:t>
      </w:r>
      <w:r>
        <w:rPr>
          <w:rFonts w:hint="eastAsia" w:ascii="仿宋_GB2312" w:eastAsia="仿宋_GB2312" w:cs="仿宋_GB2312"/>
          <w:color w:val="000000" w:themeColor="text1"/>
          <w:spacing w:val="0"/>
          <w:sz w:val="32"/>
          <w:szCs w:val="32"/>
          <w:lang w:val="en-US" w:eastAsia="zh-CN"/>
          <w14:textFill>
            <w14:solidFill>
              <w14:schemeClr w14:val="tx1"/>
            </w14:solidFill>
          </w14:textFill>
        </w:rPr>
        <w:t>35451</w:t>
      </w:r>
      <w:r>
        <w:rPr>
          <w:rFonts w:hint="eastAsia" w:ascii="仿宋_GB2312" w:eastAsia="仿宋_GB2312" w:cs="仿宋_GB2312"/>
          <w:color w:val="000000" w:themeColor="text1"/>
          <w:spacing w:val="0"/>
          <w:sz w:val="32"/>
          <w:szCs w:val="32"/>
          <w14:textFill>
            <w14:solidFill>
              <w14:schemeClr w14:val="tx1"/>
            </w14:solidFill>
          </w14:textFill>
        </w:rPr>
        <w:t>万元）。</w:t>
      </w:r>
    </w:p>
    <w:p w14:paraId="62D5D3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仿宋_GB2312"/>
          <w:color w:val="000000" w:themeColor="text1"/>
          <w:spacing w:val="0"/>
          <w:sz w:val="32"/>
          <w:szCs w:val="32"/>
          <w14:textFill>
            <w14:solidFill>
              <w14:schemeClr w14:val="tx1"/>
            </w14:solidFill>
          </w14:textFill>
        </w:rPr>
      </w:pPr>
      <w:r>
        <w:rPr>
          <w:rFonts w:hint="eastAsia" w:ascii="仿宋_GB2312" w:eastAsia="仿宋_GB2312" w:cs="仿宋_GB2312"/>
          <w:color w:val="000000" w:themeColor="text1"/>
          <w:spacing w:val="0"/>
          <w:sz w:val="32"/>
          <w:szCs w:val="32"/>
          <w14:textFill>
            <w14:solidFill>
              <w14:schemeClr w14:val="tx1"/>
            </w14:solidFill>
          </w14:textFill>
        </w:rPr>
        <w:t>县</w:t>
      </w:r>
      <w:r>
        <w:rPr>
          <w:rFonts w:ascii="仿宋_GB2312" w:eastAsia="仿宋_GB2312" w:cs="仿宋_GB2312"/>
          <w:color w:val="000000" w:themeColor="text1"/>
          <w:spacing w:val="0"/>
          <w:sz w:val="32"/>
          <w:szCs w:val="32"/>
          <w14:textFill>
            <w14:solidFill>
              <w14:schemeClr w14:val="tx1"/>
            </w14:solidFill>
          </w14:textFill>
        </w:rPr>
        <w:t>本</w:t>
      </w:r>
      <w:r>
        <w:rPr>
          <w:rFonts w:hint="eastAsia" w:ascii="仿宋_GB2312" w:eastAsia="仿宋_GB2312" w:cs="仿宋_GB2312"/>
          <w:color w:val="000000" w:themeColor="text1"/>
          <w:spacing w:val="0"/>
          <w:sz w:val="32"/>
          <w:szCs w:val="32"/>
          <w14:textFill>
            <w14:solidFill>
              <w14:schemeClr w14:val="tx1"/>
            </w14:solidFill>
          </w14:textFill>
        </w:rPr>
        <w:t>级财力安排支出</w:t>
      </w:r>
      <w:r>
        <w:rPr>
          <w:rFonts w:hint="eastAsia" w:ascii="仿宋_GB2312" w:eastAsia="仿宋_GB2312" w:cs="仿宋_GB2312"/>
          <w:color w:val="000000" w:themeColor="text1"/>
          <w:spacing w:val="0"/>
          <w:sz w:val="32"/>
          <w:szCs w:val="32"/>
          <w:lang w:val="en-US" w:eastAsia="zh-CN"/>
          <w14:textFill>
            <w14:solidFill>
              <w14:schemeClr w14:val="tx1"/>
            </w14:solidFill>
          </w14:textFill>
        </w:rPr>
        <w:t>107259</w:t>
      </w:r>
      <w:r>
        <w:rPr>
          <w:rFonts w:hint="eastAsia" w:ascii="仿宋_GB2312" w:eastAsia="仿宋_GB2312" w:cs="仿宋_GB2312"/>
          <w:color w:val="000000" w:themeColor="text1"/>
          <w:spacing w:val="0"/>
          <w:sz w:val="32"/>
          <w:szCs w:val="32"/>
          <w14:textFill>
            <w14:solidFill>
              <w14:schemeClr w14:val="tx1"/>
            </w14:solidFill>
          </w14:textFill>
        </w:rPr>
        <w:t>万元</w:t>
      </w:r>
      <w:r>
        <w:rPr>
          <w:rFonts w:ascii="仿宋_GB2312" w:eastAsia="仿宋_GB2312" w:cs="仿宋_GB2312"/>
          <w:color w:val="000000" w:themeColor="text1"/>
          <w:spacing w:val="0"/>
          <w:sz w:val="32"/>
          <w:szCs w:val="32"/>
          <w14:textFill>
            <w14:solidFill>
              <w14:schemeClr w14:val="tx1"/>
            </w14:solidFill>
          </w14:textFill>
        </w:rPr>
        <w:t>的主要投向</w:t>
      </w:r>
      <w:r>
        <w:rPr>
          <w:rFonts w:hint="eastAsia" w:ascii="仿宋_GB2312" w:eastAsia="仿宋_GB2312" w:cs="仿宋_GB2312"/>
          <w:color w:val="000000" w:themeColor="text1"/>
          <w:spacing w:val="0"/>
          <w:sz w:val="32"/>
          <w:szCs w:val="32"/>
          <w14:textFill>
            <w14:solidFill>
              <w14:schemeClr w14:val="tx1"/>
            </w14:solidFill>
          </w14:textFill>
        </w:rPr>
        <w:t>是：</w:t>
      </w:r>
    </w:p>
    <w:p w14:paraId="5724F42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eastAsia="仿宋_GB2312" w:cs="仿宋_GB2312"/>
          <w:color w:val="000000" w:themeColor="text1"/>
          <w:spacing w:val="0"/>
          <w:sz w:val="32"/>
          <w:szCs w:val="32"/>
          <w14:textFill>
            <w14:solidFill>
              <w14:schemeClr w14:val="tx1"/>
            </w14:solidFill>
          </w14:textFill>
        </w:rPr>
        <w:t>基本支出</w:t>
      </w:r>
      <w:r>
        <w:rPr>
          <w:rFonts w:hint="eastAsia" w:ascii="仿宋_GB2312" w:eastAsia="仿宋_GB2312" w:cs="仿宋_GB2312"/>
          <w:color w:val="000000" w:themeColor="text1"/>
          <w:spacing w:val="0"/>
          <w:sz w:val="32"/>
          <w:szCs w:val="32"/>
          <w:lang w:val="en-US" w:eastAsia="zh-CN"/>
          <w14:textFill>
            <w14:solidFill>
              <w14:schemeClr w14:val="tx1"/>
            </w14:solidFill>
          </w14:textFill>
        </w:rPr>
        <w:t>87920</w:t>
      </w:r>
      <w:r>
        <w:rPr>
          <w:rFonts w:hint="eastAsia" w:ascii="仿宋_GB2312" w:eastAsia="仿宋_GB2312" w:cs="仿宋_GB2312"/>
          <w:color w:val="000000" w:themeColor="text1"/>
          <w:spacing w:val="0"/>
          <w:sz w:val="32"/>
          <w:szCs w:val="32"/>
          <w14:textFill>
            <w14:solidFill>
              <w14:schemeClr w14:val="tx1"/>
            </w14:solidFill>
          </w14:textFill>
        </w:rPr>
        <w:t>万元，占</w:t>
      </w:r>
      <w:r>
        <w:rPr>
          <w:rFonts w:hint="eastAsia" w:ascii="仿宋_GB2312" w:eastAsia="仿宋_GB2312" w:cs="仿宋_GB2312"/>
          <w:color w:val="000000" w:themeColor="text1"/>
          <w:spacing w:val="0"/>
          <w:sz w:val="32"/>
          <w:szCs w:val="32"/>
          <w:lang w:val="en-US" w:eastAsia="zh-CN"/>
          <w14:textFill>
            <w14:solidFill>
              <w14:schemeClr w14:val="tx1"/>
            </w14:solidFill>
          </w14:textFill>
        </w:rPr>
        <w:t>81.97</w:t>
      </w:r>
      <w:r>
        <w:rPr>
          <w:rFonts w:ascii="仿宋_GB2312" w:eastAsia="仿宋_GB2312" w:cs="仿宋_GB2312"/>
          <w:color w:val="000000" w:themeColor="text1"/>
          <w:spacing w:val="0"/>
          <w:sz w:val="32"/>
          <w:szCs w:val="32"/>
          <w14:textFill>
            <w14:solidFill>
              <w14:schemeClr w14:val="tx1"/>
            </w14:solidFill>
          </w14:textFill>
        </w:rPr>
        <w:t>%</w:t>
      </w:r>
      <w:r>
        <w:rPr>
          <w:rFonts w:hint="eastAsia" w:ascii="仿宋_GB2312" w:eastAsia="仿宋_GB2312" w:cs="仿宋_GB2312"/>
          <w:color w:val="000000" w:themeColor="text1"/>
          <w:spacing w:val="0"/>
          <w:sz w:val="32"/>
          <w:szCs w:val="32"/>
          <w14:textFill>
            <w14:solidFill>
              <w14:schemeClr w14:val="tx1"/>
            </w14:solidFill>
          </w14:textFill>
        </w:rPr>
        <w:t>。主要</w:t>
      </w:r>
      <w:r>
        <w:rPr>
          <w:rFonts w:hint="eastAsia" w:ascii="仿宋_GB2312" w:eastAsia="仿宋_GB2312" w:cs="仿宋_GB2312"/>
          <w:color w:val="000000" w:themeColor="text1"/>
          <w:spacing w:val="0"/>
          <w:sz w:val="32"/>
          <w:szCs w:val="32"/>
          <w:lang w:val="en-US" w:eastAsia="zh-CN"/>
          <w14:textFill>
            <w14:solidFill>
              <w14:schemeClr w14:val="tx1"/>
            </w14:solidFill>
          </w14:textFill>
        </w:rPr>
        <w:t>用于</w:t>
      </w:r>
      <w:r>
        <w:rPr>
          <w:rFonts w:hint="eastAsia" w:ascii="仿宋_GB2312" w:eastAsia="仿宋_GB2312" w:cs="仿宋_GB2312"/>
          <w:color w:val="000000" w:themeColor="text1"/>
          <w:spacing w:val="0"/>
          <w:sz w:val="32"/>
          <w:szCs w:val="32"/>
          <w14:textFill>
            <w14:solidFill>
              <w14:schemeClr w14:val="tx1"/>
            </w14:solidFill>
          </w14:textFill>
        </w:rPr>
        <w:t>人员工资、地方性津补贴、社会保险缴费、公务员医疗补助、离休人员工资、取暖费、遗属生活费、医疗保险缴费等对个人和家庭补助支出</w:t>
      </w:r>
      <w:r>
        <w:rPr>
          <w:rFonts w:hint="eastAsia" w:ascii="仿宋_GB2312" w:eastAsia="仿宋_GB2312" w:cs="仿宋_GB2312"/>
          <w:color w:val="000000" w:themeColor="text1"/>
          <w:spacing w:val="0"/>
          <w:sz w:val="32"/>
          <w:szCs w:val="32"/>
          <w:lang w:eastAsia="zh-CN"/>
          <w14:textFill>
            <w14:solidFill>
              <w14:schemeClr w14:val="tx1"/>
            </w14:solidFill>
          </w14:textFill>
        </w:rPr>
        <w:t>。</w:t>
      </w:r>
    </w:p>
    <w:p w14:paraId="3BF077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olor w:val="000000" w:themeColor="text1"/>
          <w:spacing w:val="0"/>
          <w:sz w:val="32"/>
          <w:szCs w:val="32"/>
          <w:highlight w:val="yellow"/>
          <w14:textFill>
            <w14:solidFill>
              <w14:schemeClr w14:val="tx1"/>
            </w14:solidFill>
          </w14:textFill>
        </w:rPr>
      </w:pPr>
      <w:r>
        <w:rPr>
          <w:rFonts w:hint="eastAsia" w:ascii="仿宋_GB2312" w:eastAsia="仿宋_GB2312"/>
          <w:color w:val="000000" w:themeColor="text1"/>
          <w:spacing w:val="0"/>
          <w:sz w:val="32"/>
          <w:szCs w:val="32"/>
          <w:lang w:val="en-US" w:eastAsia="zh-CN"/>
          <w14:textFill>
            <w14:solidFill>
              <w14:schemeClr w14:val="tx1"/>
            </w14:solidFill>
          </w14:textFill>
        </w:rPr>
        <w:t>其中，</w:t>
      </w:r>
      <w:r>
        <w:rPr>
          <w:rFonts w:hint="eastAsia" w:ascii="仿宋_GB2312" w:eastAsia="仿宋_GB2312"/>
          <w:color w:val="000000" w:themeColor="text1"/>
          <w:spacing w:val="0"/>
          <w:sz w:val="32"/>
          <w:szCs w:val="32"/>
          <w14:textFill>
            <w14:solidFill>
              <w14:schemeClr w14:val="tx1"/>
            </w14:solidFill>
          </w14:textFill>
        </w:rPr>
        <w:t>安排“三保”支出</w:t>
      </w:r>
      <w:r>
        <w:rPr>
          <w:rFonts w:hint="eastAsia" w:ascii="仿宋_GB2312" w:eastAsia="仿宋_GB2312" w:cs="仿宋_GB2312"/>
          <w:color w:val="000000" w:themeColor="text1"/>
          <w:spacing w:val="0"/>
          <w:sz w:val="32"/>
          <w:szCs w:val="32"/>
          <w:lang w:val="en-US" w:eastAsia="zh-CN"/>
          <w14:textFill>
            <w14:solidFill>
              <w14:schemeClr w14:val="tx1"/>
            </w14:solidFill>
          </w14:textFill>
        </w:rPr>
        <w:t>58747</w:t>
      </w:r>
      <w:r>
        <w:rPr>
          <w:rFonts w:hint="eastAsia" w:ascii="仿宋_GB2312" w:eastAsia="仿宋_GB2312"/>
          <w:color w:val="000000" w:themeColor="text1"/>
          <w:spacing w:val="0"/>
          <w:sz w:val="32"/>
          <w:szCs w:val="32"/>
          <w14:textFill>
            <w14:solidFill>
              <w14:schemeClr w14:val="tx1"/>
            </w14:solidFill>
          </w14:textFill>
        </w:rPr>
        <w:t>万元</w:t>
      </w: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14:textFill>
            <w14:solidFill>
              <w14:schemeClr w14:val="tx1"/>
            </w14:solidFill>
          </w14:textFill>
        </w:rPr>
        <w:t>保基本民生支出</w:t>
      </w:r>
      <w:r>
        <w:rPr>
          <w:rFonts w:hint="eastAsia" w:ascii="仿宋_GB2312" w:eastAsia="仿宋_GB2312" w:cs="仿宋_GB2312"/>
          <w:color w:val="000000" w:themeColor="text1"/>
          <w:spacing w:val="0"/>
          <w:sz w:val="32"/>
          <w:szCs w:val="32"/>
          <w:lang w:val="en-US" w:eastAsia="zh-CN"/>
          <w14:textFill>
            <w14:solidFill>
              <w14:schemeClr w14:val="tx1"/>
            </w14:solidFill>
          </w14:textFill>
        </w:rPr>
        <w:t>7881</w:t>
      </w:r>
      <w:r>
        <w:rPr>
          <w:rFonts w:hint="eastAsia" w:ascii="仿宋_GB2312" w:eastAsia="仿宋_GB2312"/>
          <w:color w:val="000000" w:themeColor="text1"/>
          <w:spacing w:val="0"/>
          <w:sz w:val="32"/>
          <w:szCs w:val="32"/>
          <w14:textFill>
            <w14:solidFill>
              <w14:schemeClr w14:val="tx1"/>
            </w14:solidFill>
          </w14:textFill>
        </w:rPr>
        <w:t>万元、保工资支出</w:t>
      </w:r>
      <w:r>
        <w:rPr>
          <w:rFonts w:hint="eastAsia" w:ascii="仿宋_GB2312" w:eastAsia="仿宋_GB2312" w:cs="仿宋_GB2312"/>
          <w:color w:val="000000" w:themeColor="text1"/>
          <w:spacing w:val="0"/>
          <w:sz w:val="32"/>
          <w:szCs w:val="32"/>
          <w14:textFill>
            <w14:solidFill>
              <w14:schemeClr w14:val="tx1"/>
            </w14:solidFill>
          </w14:textFill>
        </w:rPr>
        <w:t>46304</w:t>
      </w:r>
      <w:r>
        <w:rPr>
          <w:rFonts w:hint="eastAsia" w:ascii="仿宋_GB2312" w:eastAsia="仿宋_GB2312"/>
          <w:color w:val="000000" w:themeColor="text1"/>
          <w:spacing w:val="0"/>
          <w:sz w:val="32"/>
          <w:szCs w:val="32"/>
          <w14:textFill>
            <w14:solidFill>
              <w14:schemeClr w14:val="tx1"/>
            </w14:solidFill>
          </w14:textFill>
        </w:rPr>
        <w:t>万元、保运转支出</w:t>
      </w:r>
      <w:r>
        <w:rPr>
          <w:rFonts w:hint="eastAsia" w:ascii="仿宋_GB2312" w:eastAsia="仿宋_GB2312" w:cs="仿宋_GB2312"/>
          <w:color w:val="000000" w:themeColor="text1"/>
          <w:spacing w:val="0"/>
          <w:sz w:val="32"/>
          <w:szCs w:val="32"/>
          <w14:textFill>
            <w14:solidFill>
              <w14:schemeClr w14:val="tx1"/>
            </w14:solidFill>
          </w14:textFill>
        </w:rPr>
        <w:t>4562</w:t>
      </w:r>
      <w:r>
        <w:rPr>
          <w:rFonts w:hint="eastAsia" w:ascii="仿宋_GB2312" w:eastAsia="仿宋_GB2312"/>
          <w:color w:val="000000" w:themeColor="text1"/>
          <w:spacing w:val="0"/>
          <w:sz w:val="32"/>
          <w:szCs w:val="32"/>
          <w14:textFill>
            <w14:solidFill>
              <w14:schemeClr w14:val="tx1"/>
            </w14:solidFill>
          </w14:textFill>
        </w:rPr>
        <w:t>万元</w:t>
      </w:r>
      <w:r>
        <w:rPr>
          <w:rFonts w:hint="eastAsia" w:ascii="仿宋_GB2312" w:eastAsia="仿宋_GB2312"/>
          <w:color w:val="000000" w:themeColor="text1"/>
          <w:spacing w:val="0"/>
          <w:sz w:val="32"/>
          <w:szCs w:val="32"/>
          <w:lang w:eastAsia="zh-CN"/>
          <w14:textFill>
            <w14:solidFill>
              <w14:schemeClr w14:val="tx1"/>
            </w14:solidFill>
          </w14:textFill>
        </w:rPr>
        <w:t>），安排“三保”以外的刚性支出</w:t>
      </w:r>
      <w:r>
        <w:rPr>
          <w:rFonts w:hint="eastAsia" w:ascii="仿宋_GB2312" w:eastAsia="仿宋_GB2312"/>
          <w:color w:val="000000" w:themeColor="text1"/>
          <w:spacing w:val="0"/>
          <w:sz w:val="32"/>
          <w:szCs w:val="32"/>
          <w:lang w:val="en-US" w:eastAsia="zh-CN"/>
          <w14:textFill>
            <w14:solidFill>
              <w14:schemeClr w14:val="tx1"/>
            </w14:solidFill>
          </w14:textFill>
        </w:rPr>
        <w:t>29173万元</w:t>
      </w:r>
      <w:r>
        <w:rPr>
          <w:rFonts w:hint="eastAsia" w:ascii="仿宋_GB2312" w:eastAsia="仿宋_GB2312"/>
          <w:color w:val="000000" w:themeColor="text1"/>
          <w:spacing w:val="0"/>
          <w:sz w:val="32"/>
          <w:szCs w:val="32"/>
          <w14:textFill>
            <w14:solidFill>
              <w14:schemeClr w14:val="tx1"/>
            </w14:solidFill>
          </w14:textFill>
        </w:rPr>
        <w:t>。安排县级“三公”经费</w:t>
      </w:r>
      <w:r>
        <w:rPr>
          <w:rFonts w:hint="eastAsia" w:ascii="仿宋_GB2312" w:eastAsia="仿宋_GB2312" w:cs="仿宋_GB2312"/>
          <w:color w:val="000000" w:themeColor="text1"/>
          <w:spacing w:val="0"/>
          <w:sz w:val="32"/>
          <w:szCs w:val="32"/>
          <w14:textFill>
            <w14:solidFill>
              <w14:schemeClr w14:val="tx1"/>
            </w14:solidFill>
          </w14:textFill>
        </w:rPr>
        <w:t>725.21</w:t>
      </w:r>
      <w:r>
        <w:rPr>
          <w:rFonts w:hint="eastAsia" w:ascii="仿宋_GB2312" w:eastAsia="仿宋_GB2312"/>
          <w:color w:val="000000" w:themeColor="text1"/>
          <w:spacing w:val="0"/>
          <w:sz w:val="32"/>
          <w:szCs w:val="32"/>
          <w14:textFill>
            <w14:solidFill>
              <w14:schemeClr w14:val="tx1"/>
            </w14:solidFill>
          </w14:textFill>
        </w:rPr>
        <w:t>万元</w:t>
      </w: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14:textFill>
            <w14:solidFill>
              <w14:schemeClr w14:val="tx1"/>
            </w14:solidFill>
          </w14:textFill>
        </w:rPr>
        <w:t>公务接待费</w:t>
      </w:r>
      <w:r>
        <w:rPr>
          <w:rFonts w:hint="eastAsia" w:ascii="仿宋_GB2312" w:eastAsia="仿宋_GB2312" w:cs="仿宋_GB2312"/>
          <w:color w:val="000000" w:themeColor="text1"/>
          <w:spacing w:val="0"/>
          <w:sz w:val="32"/>
          <w:szCs w:val="32"/>
          <w14:textFill>
            <w14:solidFill>
              <w14:schemeClr w14:val="tx1"/>
            </w14:solidFill>
          </w14:textFill>
        </w:rPr>
        <w:t>176.53</w:t>
      </w:r>
      <w:r>
        <w:rPr>
          <w:rFonts w:hint="eastAsia" w:ascii="仿宋_GB2312" w:eastAsia="仿宋_GB2312"/>
          <w:color w:val="000000" w:themeColor="text1"/>
          <w:spacing w:val="0"/>
          <w:sz w:val="32"/>
          <w:szCs w:val="32"/>
          <w14:textFill>
            <w14:solidFill>
              <w14:schemeClr w14:val="tx1"/>
            </w14:solidFill>
          </w14:textFill>
        </w:rPr>
        <w:t>万元</w:t>
      </w: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14:textFill>
            <w14:solidFill>
              <w14:schemeClr w14:val="tx1"/>
            </w14:solidFill>
          </w14:textFill>
        </w:rPr>
        <w:t>公务用车购置及运行维护费</w:t>
      </w:r>
      <w:r>
        <w:rPr>
          <w:rFonts w:hint="eastAsia" w:ascii="仿宋_GB2312" w:eastAsia="仿宋_GB2312" w:cs="仿宋_GB2312"/>
          <w:color w:val="000000" w:themeColor="text1"/>
          <w:spacing w:val="0"/>
          <w:sz w:val="32"/>
          <w:szCs w:val="32"/>
          <w14:textFill>
            <w14:solidFill>
              <w14:schemeClr w14:val="tx1"/>
            </w14:solidFill>
          </w14:textFill>
        </w:rPr>
        <w:t>548.68</w:t>
      </w:r>
      <w:r>
        <w:rPr>
          <w:rFonts w:hint="eastAsia" w:ascii="仿宋_GB2312" w:eastAsia="仿宋_GB2312"/>
          <w:color w:val="000000" w:themeColor="text1"/>
          <w:spacing w:val="0"/>
          <w:sz w:val="32"/>
          <w:szCs w:val="32"/>
          <w14:textFill>
            <w14:solidFill>
              <w14:schemeClr w14:val="tx1"/>
            </w14:solidFill>
          </w14:textFill>
        </w:rPr>
        <w:t>万元</w:t>
      </w: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14:textFill>
            <w14:solidFill>
              <w14:schemeClr w14:val="tx1"/>
            </w14:solidFill>
          </w14:textFill>
        </w:rPr>
        <w:t>，减少</w:t>
      </w:r>
      <w:r>
        <w:rPr>
          <w:rFonts w:hint="eastAsia" w:ascii="仿宋_GB2312" w:eastAsia="仿宋_GB2312" w:cs="仿宋_GB2312"/>
          <w:color w:val="000000" w:themeColor="text1"/>
          <w:spacing w:val="0"/>
          <w:sz w:val="32"/>
          <w:szCs w:val="32"/>
          <w14:textFill>
            <w14:solidFill>
              <w14:schemeClr w14:val="tx1"/>
            </w14:solidFill>
          </w14:textFill>
        </w:rPr>
        <w:t>8.01</w:t>
      </w:r>
      <w:r>
        <w:rPr>
          <w:rFonts w:hint="eastAsia" w:ascii="仿宋_GB2312" w:eastAsia="仿宋_GB2312"/>
          <w:color w:val="000000" w:themeColor="text1"/>
          <w:spacing w:val="0"/>
          <w:sz w:val="32"/>
          <w:szCs w:val="32"/>
          <w14:textFill>
            <w14:solidFill>
              <w14:schemeClr w14:val="tx1"/>
            </w14:solidFill>
          </w14:textFill>
        </w:rPr>
        <w:t>万元，下降</w:t>
      </w:r>
      <w:r>
        <w:rPr>
          <w:rFonts w:hint="eastAsia" w:ascii="仿宋_GB2312" w:eastAsia="仿宋_GB2312" w:cs="仿宋_GB2312"/>
          <w:color w:val="000000" w:themeColor="text1"/>
          <w:spacing w:val="0"/>
          <w:sz w:val="32"/>
          <w:szCs w:val="32"/>
          <w14:textFill>
            <w14:solidFill>
              <w14:schemeClr w14:val="tx1"/>
            </w14:solidFill>
          </w14:textFill>
        </w:rPr>
        <w:t>1.09</w:t>
      </w:r>
      <w:r>
        <w:rPr>
          <w:rFonts w:hint="eastAsia" w:ascii="仿宋_GB2312" w:eastAsia="仿宋_GB2312"/>
          <w:color w:val="000000" w:themeColor="text1"/>
          <w:spacing w:val="0"/>
          <w:sz w:val="32"/>
          <w:szCs w:val="32"/>
          <w14:textFill>
            <w14:solidFill>
              <w14:schemeClr w14:val="tx1"/>
            </w14:solidFill>
          </w14:textFill>
        </w:rPr>
        <w:t>%。</w:t>
      </w:r>
    </w:p>
    <w:p w14:paraId="1318FF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仿宋_GB2312"/>
          <w:color w:val="000000" w:themeColor="text1"/>
          <w:spacing w:val="0"/>
          <w:sz w:val="32"/>
          <w:szCs w:val="32"/>
          <w14:textFill>
            <w14:solidFill>
              <w14:schemeClr w14:val="tx1"/>
            </w14:solidFill>
          </w14:textFill>
        </w:rPr>
      </w:pPr>
      <w:r>
        <w:rPr>
          <w:rFonts w:hint="eastAsia" w:ascii="仿宋_GB2312" w:eastAsia="仿宋_GB2312" w:cs="仿宋_GB2312"/>
          <w:color w:val="000000" w:themeColor="text1"/>
          <w:spacing w:val="0"/>
          <w:sz w:val="32"/>
          <w:szCs w:val="32"/>
          <w14:textFill>
            <w14:solidFill>
              <w14:schemeClr w14:val="tx1"/>
            </w14:solidFill>
          </w14:textFill>
        </w:rPr>
        <w:t>（</w:t>
      </w:r>
      <w:r>
        <w:rPr>
          <w:rFonts w:ascii="仿宋_GB2312" w:eastAsia="仿宋_GB2312" w:cs="仿宋_GB2312"/>
          <w:color w:val="000000" w:themeColor="text1"/>
          <w:spacing w:val="0"/>
          <w:sz w:val="32"/>
          <w:szCs w:val="32"/>
          <w14:textFill>
            <w14:solidFill>
              <w14:schemeClr w14:val="tx1"/>
            </w14:solidFill>
          </w14:textFill>
        </w:rPr>
        <w:t>2</w:t>
      </w:r>
      <w:r>
        <w:rPr>
          <w:rFonts w:hint="eastAsia" w:ascii="仿宋_GB2312" w:eastAsia="仿宋_GB2312" w:cs="仿宋_GB2312"/>
          <w:color w:val="000000" w:themeColor="text1"/>
          <w:spacing w:val="0"/>
          <w:sz w:val="32"/>
          <w:szCs w:val="32"/>
          <w14:textFill>
            <w14:solidFill>
              <w14:schemeClr w14:val="tx1"/>
            </w14:solidFill>
          </w14:textFill>
        </w:rPr>
        <w:t>）项目支出</w:t>
      </w:r>
      <w:r>
        <w:rPr>
          <w:rFonts w:hint="eastAsia" w:ascii="仿宋_GB2312" w:eastAsia="仿宋_GB2312" w:cs="仿宋_GB2312"/>
          <w:color w:val="000000" w:themeColor="text1"/>
          <w:spacing w:val="0"/>
          <w:sz w:val="32"/>
          <w:szCs w:val="32"/>
          <w:lang w:val="en-US" w:eastAsia="zh-CN"/>
          <w14:textFill>
            <w14:solidFill>
              <w14:schemeClr w14:val="tx1"/>
            </w14:solidFill>
          </w14:textFill>
        </w:rPr>
        <w:t>19339</w:t>
      </w:r>
      <w:r>
        <w:rPr>
          <w:rFonts w:hint="eastAsia" w:ascii="仿宋_GB2312" w:eastAsia="仿宋_GB2312" w:cs="仿宋_GB2312"/>
          <w:color w:val="000000" w:themeColor="text1"/>
          <w:spacing w:val="0"/>
          <w:sz w:val="32"/>
          <w:szCs w:val="32"/>
          <w14:textFill>
            <w14:solidFill>
              <w14:schemeClr w14:val="tx1"/>
            </w14:solidFill>
          </w14:textFill>
        </w:rPr>
        <w:t>万元，占</w:t>
      </w:r>
      <w:r>
        <w:rPr>
          <w:rFonts w:hint="eastAsia" w:ascii="仿宋_GB2312" w:eastAsia="仿宋_GB2312" w:cs="仿宋_GB2312"/>
          <w:color w:val="000000" w:themeColor="text1"/>
          <w:spacing w:val="0"/>
          <w:sz w:val="32"/>
          <w:szCs w:val="32"/>
          <w:lang w:val="en-US" w:eastAsia="zh-CN"/>
          <w14:textFill>
            <w14:solidFill>
              <w14:schemeClr w14:val="tx1"/>
            </w14:solidFill>
          </w14:textFill>
        </w:rPr>
        <w:t>18.03</w:t>
      </w:r>
      <w:r>
        <w:rPr>
          <w:rFonts w:ascii="仿宋_GB2312" w:eastAsia="仿宋_GB2312" w:cs="仿宋_GB2312"/>
          <w:color w:val="000000" w:themeColor="text1"/>
          <w:spacing w:val="0"/>
          <w:sz w:val="32"/>
          <w:szCs w:val="32"/>
          <w14:textFill>
            <w14:solidFill>
              <w14:schemeClr w14:val="tx1"/>
            </w14:solidFill>
          </w14:textFill>
        </w:rPr>
        <w:t>%</w:t>
      </w:r>
      <w:r>
        <w:rPr>
          <w:rFonts w:hint="eastAsia" w:ascii="仿宋_GB2312" w:eastAsia="仿宋_GB2312" w:cs="仿宋_GB2312"/>
          <w:color w:val="000000" w:themeColor="text1"/>
          <w:spacing w:val="0"/>
          <w:sz w:val="32"/>
          <w:szCs w:val="32"/>
          <w14:textFill>
            <w14:solidFill>
              <w14:schemeClr w14:val="tx1"/>
            </w14:solidFill>
          </w14:textFill>
        </w:rPr>
        <w:t>。</w:t>
      </w:r>
      <w:r>
        <w:rPr>
          <w:rFonts w:hint="eastAsia" w:ascii="仿宋_GB2312" w:eastAsia="仿宋_GB2312" w:cs="仿宋_GB2312"/>
          <w:color w:val="000000" w:themeColor="text1"/>
          <w:spacing w:val="0"/>
          <w:sz w:val="32"/>
          <w:szCs w:val="32"/>
          <w:lang w:val="en-US" w:eastAsia="zh-CN"/>
          <w14:textFill>
            <w14:solidFill>
              <w14:schemeClr w14:val="tx1"/>
            </w14:solidFill>
          </w14:textFill>
        </w:rPr>
        <w:t>主要</w:t>
      </w:r>
      <w:r>
        <w:rPr>
          <w:rFonts w:hint="eastAsia" w:ascii="仿宋_GB2312" w:eastAsia="仿宋_GB2312" w:cs="仿宋_GB2312"/>
          <w:color w:val="000000" w:themeColor="text1"/>
          <w:spacing w:val="0"/>
          <w:sz w:val="32"/>
          <w:szCs w:val="32"/>
          <w14:textFill>
            <w14:solidFill>
              <w14:schemeClr w14:val="tx1"/>
            </w14:solidFill>
          </w14:textFill>
        </w:rPr>
        <w:t>用于基本公共服务财政事权与支出责任划分涉及的教育、就业、养老、医疗、卫生、社会救助、住房保障支出，以及乡村振兴、生态保护、村级组织运转、偿还政府债务本息和安排预备费等方面。</w:t>
      </w:r>
    </w:p>
    <w:p w14:paraId="41219C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仿宋_GB2312"/>
          <w:color w:val="000000" w:themeColor="text1"/>
          <w:spacing w:val="0"/>
          <w:sz w:val="32"/>
          <w:szCs w:val="32"/>
          <w14:textFill>
            <w14:solidFill>
              <w14:schemeClr w14:val="tx1"/>
            </w14:solidFill>
          </w14:textFill>
        </w:rPr>
      </w:pPr>
      <w:r>
        <w:rPr>
          <w:rFonts w:hint="eastAsia" w:ascii="仿宋_GB2312" w:eastAsia="仿宋_GB2312" w:cs="仿宋_GB2312"/>
          <w:b/>
          <w:bCs/>
          <w:color w:val="000000" w:themeColor="text1"/>
          <w:spacing w:val="0"/>
          <w:sz w:val="32"/>
          <w:szCs w:val="32"/>
          <w14:textFill>
            <w14:solidFill>
              <w14:schemeClr w14:val="tx1"/>
            </w14:solidFill>
          </w14:textFill>
        </w:rPr>
        <w:t>2.政府性基金预算。</w:t>
      </w:r>
      <w:r>
        <w:rPr>
          <w:rFonts w:hint="eastAsia" w:ascii="仿宋_GB2312" w:eastAsia="仿宋_GB2312" w:cs="仿宋_GB2312"/>
          <w:color w:val="000000" w:themeColor="text1"/>
          <w:spacing w:val="0"/>
          <w:sz w:val="32"/>
          <w:szCs w:val="32"/>
          <w14:textFill>
            <w14:solidFill>
              <w14:schemeClr w14:val="tx1"/>
            </w14:solidFill>
          </w14:textFill>
        </w:rPr>
        <w:t>预计县级政府性基金收入575万元，下降48.93%，加上级转移支付补助收入45万元、上年结余收入</w:t>
      </w:r>
      <w:r>
        <w:rPr>
          <w:rFonts w:hint="eastAsia" w:ascii="仿宋_GB2312" w:eastAsia="仿宋_GB2312" w:cs="仿宋_GB2312"/>
          <w:color w:val="000000" w:themeColor="text1"/>
          <w:spacing w:val="0"/>
          <w:sz w:val="32"/>
          <w:szCs w:val="32"/>
          <w:lang w:val="en-US" w:eastAsia="zh-CN"/>
          <w14:textFill>
            <w14:solidFill>
              <w14:schemeClr w14:val="tx1"/>
            </w14:solidFill>
          </w14:textFill>
        </w:rPr>
        <w:t>1966</w:t>
      </w:r>
      <w:r>
        <w:rPr>
          <w:rFonts w:hint="eastAsia" w:ascii="仿宋_GB2312" w:eastAsia="仿宋_GB2312" w:cs="仿宋_GB2312"/>
          <w:color w:val="000000" w:themeColor="text1"/>
          <w:spacing w:val="0"/>
          <w:sz w:val="32"/>
          <w:szCs w:val="32"/>
          <w14:textFill>
            <w14:solidFill>
              <w14:schemeClr w14:val="tx1"/>
            </w14:solidFill>
          </w14:textFill>
        </w:rPr>
        <w:t>万元，政府性基金收入</w:t>
      </w:r>
      <w:r>
        <w:rPr>
          <w:rFonts w:hint="eastAsia" w:ascii="仿宋_GB2312" w:eastAsia="仿宋_GB2312" w:cs="仿宋_GB2312"/>
          <w:color w:val="000000" w:themeColor="text1"/>
          <w:spacing w:val="0"/>
          <w:sz w:val="32"/>
          <w:szCs w:val="32"/>
          <w:lang w:val="en-US" w:eastAsia="zh-CN"/>
          <w14:textFill>
            <w14:solidFill>
              <w14:schemeClr w14:val="tx1"/>
            </w14:solidFill>
          </w14:textFill>
        </w:rPr>
        <w:t>总量为2586</w:t>
      </w:r>
      <w:r>
        <w:rPr>
          <w:rFonts w:hint="eastAsia" w:ascii="仿宋_GB2312" w:eastAsia="仿宋_GB2312" w:cs="仿宋_GB2312"/>
          <w:color w:val="000000" w:themeColor="text1"/>
          <w:spacing w:val="0"/>
          <w:sz w:val="32"/>
          <w:szCs w:val="32"/>
          <w14:textFill>
            <w14:solidFill>
              <w14:schemeClr w14:val="tx1"/>
            </w14:solidFill>
          </w14:textFill>
        </w:rPr>
        <w:t>万元。按照收支平衡原则，</w:t>
      </w:r>
      <w:r>
        <w:rPr>
          <w:rFonts w:hint="eastAsia" w:ascii="仿宋_GB2312" w:eastAsia="仿宋_GB2312" w:cs="仿宋_GB2312"/>
          <w:color w:val="000000" w:themeColor="text1"/>
          <w:spacing w:val="-6"/>
          <w:sz w:val="32"/>
          <w:szCs w:val="32"/>
          <w14:textFill>
            <w14:solidFill>
              <w14:schemeClr w14:val="tx1"/>
            </w14:solidFill>
          </w14:textFill>
        </w:rPr>
        <w:t>支出相应安排</w:t>
      </w:r>
      <w:r>
        <w:rPr>
          <w:rFonts w:hint="eastAsia" w:ascii="仿宋_GB2312" w:eastAsia="仿宋_GB2312" w:cs="仿宋_GB2312"/>
          <w:color w:val="000000" w:themeColor="text1"/>
          <w:spacing w:val="-6"/>
          <w:sz w:val="32"/>
          <w:szCs w:val="32"/>
          <w:lang w:val="en-US" w:eastAsia="zh-CN"/>
          <w14:textFill>
            <w14:solidFill>
              <w14:schemeClr w14:val="tx1"/>
            </w14:solidFill>
          </w14:textFill>
        </w:rPr>
        <w:t>2586</w:t>
      </w:r>
      <w:r>
        <w:rPr>
          <w:rFonts w:hint="eastAsia" w:ascii="仿宋_GB2312" w:eastAsia="仿宋_GB2312" w:cs="仿宋_GB2312"/>
          <w:color w:val="000000" w:themeColor="text1"/>
          <w:spacing w:val="-6"/>
          <w:sz w:val="32"/>
          <w:szCs w:val="32"/>
          <w14:textFill>
            <w14:solidFill>
              <w14:schemeClr w14:val="tx1"/>
            </w14:solidFill>
          </w14:textFill>
        </w:rPr>
        <w:t>万元，主要用于征地拆迁补偿、城市基础设施建设、污水处理、农业农村、政府</w:t>
      </w:r>
      <w:r>
        <w:rPr>
          <w:rFonts w:ascii="仿宋_GB2312" w:eastAsia="仿宋_GB2312" w:cs="仿宋_GB2312"/>
          <w:color w:val="000000" w:themeColor="text1"/>
          <w:spacing w:val="-6"/>
          <w:sz w:val="32"/>
          <w:szCs w:val="32"/>
          <w14:textFill>
            <w14:solidFill>
              <w14:schemeClr w14:val="tx1"/>
            </w14:solidFill>
          </w14:textFill>
        </w:rPr>
        <w:t>专项债券项目</w:t>
      </w:r>
      <w:r>
        <w:rPr>
          <w:rFonts w:hint="eastAsia" w:ascii="仿宋_GB2312" w:eastAsia="仿宋_GB2312" w:cs="仿宋_GB2312"/>
          <w:color w:val="000000" w:themeColor="text1"/>
          <w:spacing w:val="-6"/>
          <w:sz w:val="32"/>
          <w:szCs w:val="32"/>
          <w14:textFill>
            <w14:solidFill>
              <w14:schemeClr w14:val="tx1"/>
            </w14:solidFill>
          </w14:textFill>
        </w:rPr>
        <w:t>还本付息等支出。</w:t>
      </w:r>
    </w:p>
    <w:p w14:paraId="418828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仿宋_GB2312"/>
          <w:color w:val="000000" w:themeColor="text1"/>
          <w:spacing w:val="0"/>
          <w:sz w:val="32"/>
          <w:szCs w:val="32"/>
          <w14:textFill>
            <w14:solidFill>
              <w14:schemeClr w14:val="tx1"/>
            </w14:solidFill>
          </w14:textFill>
        </w:rPr>
      </w:pPr>
      <w:r>
        <w:rPr>
          <w:rFonts w:hint="eastAsia" w:ascii="仿宋_GB2312" w:eastAsia="仿宋_GB2312" w:cs="仿宋_GB2312"/>
          <w:b/>
          <w:bCs/>
          <w:color w:val="000000" w:themeColor="text1"/>
          <w:spacing w:val="0"/>
          <w:sz w:val="32"/>
          <w:szCs w:val="32"/>
          <w14:textFill>
            <w14:solidFill>
              <w14:schemeClr w14:val="tx1"/>
            </w14:solidFill>
          </w14:textFill>
        </w:rPr>
        <w:t>3.社会保险基金预算。</w:t>
      </w:r>
      <w:r>
        <w:rPr>
          <w:rFonts w:hint="eastAsia" w:ascii="仿宋_GB2312" w:eastAsia="仿宋_GB2312" w:cs="仿宋_GB2312"/>
          <w:color w:val="000000" w:themeColor="text1"/>
          <w:spacing w:val="0"/>
          <w:sz w:val="32"/>
          <w:szCs w:val="32"/>
          <w14:textFill>
            <w14:solidFill>
              <w14:schemeClr w14:val="tx1"/>
            </w14:solidFill>
          </w14:textFill>
        </w:rPr>
        <w:t>预计</w:t>
      </w:r>
      <w:r>
        <w:rPr>
          <w:rFonts w:ascii="仿宋_GB2312" w:eastAsia="仿宋_GB2312" w:cs="仿宋_GB2312"/>
          <w:color w:val="000000" w:themeColor="text1"/>
          <w:spacing w:val="0"/>
          <w:sz w:val="32"/>
          <w:szCs w:val="32"/>
          <w14:textFill>
            <w14:solidFill>
              <w14:schemeClr w14:val="tx1"/>
            </w14:solidFill>
          </w14:textFill>
        </w:rPr>
        <w:t>收入</w:t>
      </w:r>
      <w:r>
        <w:rPr>
          <w:rFonts w:hint="eastAsia" w:ascii="仿宋_GB2312" w:eastAsia="仿宋_GB2312" w:cs="仿宋_GB2312"/>
          <w:color w:val="000000" w:themeColor="text1"/>
          <w:spacing w:val="0"/>
          <w:sz w:val="32"/>
          <w:szCs w:val="32"/>
          <w14:textFill>
            <w14:solidFill>
              <w14:schemeClr w14:val="tx1"/>
            </w14:solidFill>
          </w14:textFill>
        </w:rPr>
        <w:t>21508</w:t>
      </w:r>
      <w:r>
        <w:rPr>
          <w:rFonts w:ascii="仿宋_GB2312" w:eastAsia="仿宋_GB2312" w:cs="仿宋_GB2312"/>
          <w:color w:val="000000" w:themeColor="text1"/>
          <w:spacing w:val="0"/>
          <w:sz w:val="32"/>
          <w:szCs w:val="32"/>
          <w14:textFill>
            <w14:solidFill>
              <w14:schemeClr w14:val="tx1"/>
            </w14:solidFill>
          </w14:textFill>
        </w:rPr>
        <w:t>万元，</w:t>
      </w:r>
      <w:r>
        <w:rPr>
          <w:rFonts w:hint="eastAsia" w:ascii="仿宋_GB2312" w:eastAsia="仿宋_GB2312" w:cs="仿宋_GB2312"/>
          <w:color w:val="000000" w:themeColor="text1"/>
          <w:spacing w:val="0"/>
          <w:sz w:val="32"/>
          <w:szCs w:val="32"/>
          <w:lang w:val="en-US" w:eastAsia="zh-CN"/>
          <w14:textFill>
            <w14:solidFill>
              <w14:schemeClr w14:val="tx1"/>
            </w14:solidFill>
          </w14:textFill>
        </w:rPr>
        <w:t>较</w:t>
      </w:r>
      <w:r>
        <w:rPr>
          <w:rFonts w:hint="eastAsia" w:ascii="仿宋_GB2312" w:eastAsia="仿宋_GB2312" w:cs="仿宋_GB2312"/>
          <w:color w:val="000000" w:themeColor="text1"/>
          <w:spacing w:val="0"/>
          <w:sz w:val="32"/>
          <w:szCs w:val="32"/>
          <w14:textFill>
            <w14:solidFill>
              <w14:schemeClr w14:val="tx1"/>
            </w14:solidFill>
          </w14:textFill>
        </w:rPr>
        <w:t>2025</w:t>
      </w:r>
      <w:r>
        <w:rPr>
          <w:rFonts w:ascii="仿宋_GB2312" w:eastAsia="仿宋_GB2312" w:cs="仿宋_GB2312"/>
          <w:color w:val="000000" w:themeColor="text1"/>
          <w:spacing w:val="0"/>
          <w:sz w:val="32"/>
          <w:szCs w:val="32"/>
          <w14:textFill>
            <w14:solidFill>
              <w14:schemeClr w14:val="tx1"/>
            </w14:solidFill>
          </w14:textFill>
        </w:rPr>
        <w:t>年完成数</w:t>
      </w:r>
      <w:r>
        <w:rPr>
          <w:rFonts w:hint="eastAsia" w:ascii="仿宋_GB2312" w:eastAsia="仿宋_GB2312" w:cs="仿宋_GB2312"/>
          <w:color w:val="000000" w:themeColor="text1"/>
          <w:spacing w:val="0"/>
          <w:sz w:val="32"/>
          <w:szCs w:val="32"/>
          <w14:textFill>
            <w14:solidFill>
              <w14:schemeClr w14:val="tx1"/>
            </w14:solidFill>
          </w14:textFill>
        </w:rPr>
        <w:t>16121</w:t>
      </w:r>
      <w:r>
        <w:rPr>
          <w:rFonts w:ascii="仿宋_GB2312" w:eastAsia="仿宋_GB2312" w:cs="仿宋_GB2312"/>
          <w:color w:val="000000" w:themeColor="text1"/>
          <w:spacing w:val="0"/>
          <w:sz w:val="32"/>
          <w:szCs w:val="32"/>
          <w14:textFill>
            <w14:solidFill>
              <w14:schemeClr w14:val="tx1"/>
            </w14:solidFill>
          </w14:textFill>
        </w:rPr>
        <w:t>万元增长</w:t>
      </w:r>
      <w:r>
        <w:rPr>
          <w:rFonts w:hint="eastAsia" w:ascii="仿宋_GB2312" w:eastAsia="仿宋_GB2312" w:cs="仿宋_GB2312"/>
          <w:color w:val="000000" w:themeColor="text1"/>
          <w:spacing w:val="0"/>
          <w:sz w:val="32"/>
          <w:szCs w:val="32"/>
          <w14:textFill>
            <w14:solidFill>
              <w14:schemeClr w14:val="tx1"/>
            </w14:solidFill>
          </w14:textFill>
        </w:rPr>
        <w:t>33.42%。预计</w:t>
      </w:r>
      <w:r>
        <w:rPr>
          <w:rFonts w:ascii="仿宋_GB2312" w:eastAsia="仿宋_GB2312" w:cs="仿宋_GB2312"/>
          <w:color w:val="000000" w:themeColor="text1"/>
          <w:spacing w:val="0"/>
          <w:sz w:val="32"/>
          <w:szCs w:val="32"/>
          <w14:textFill>
            <w14:solidFill>
              <w14:schemeClr w14:val="tx1"/>
            </w14:solidFill>
          </w14:textFill>
        </w:rPr>
        <w:t>支出</w:t>
      </w:r>
      <w:r>
        <w:rPr>
          <w:rFonts w:hint="eastAsia" w:ascii="仿宋_GB2312" w:eastAsia="仿宋_GB2312" w:cs="仿宋_GB2312"/>
          <w:color w:val="000000" w:themeColor="text1"/>
          <w:spacing w:val="0"/>
          <w:sz w:val="32"/>
          <w:szCs w:val="32"/>
          <w14:textFill>
            <w14:solidFill>
              <w14:schemeClr w14:val="tx1"/>
            </w14:solidFill>
          </w14:textFill>
        </w:rPr>
        <w:t>19985</w:t>
      </w:r>
      <w:r>
        <w:rPr>
          <w:rFonts w:ascii="仿宋_GB2312" w:eastAsia="仿宋_GB2312" w:cs="仿宋_GB2312"/>
          <w:color w:val="000000" w:themeColor="text1"/>
          <w:spacing w:val="0"/>
          <w:sz w:val="32"/>
          <w:szCs w:val="32"/>
          <w14:textFill>
            <w14:solidFill>
              <w14:schemeClr w14:val="tx1"/>
            </w14:solidFill>
          </w14:textFill>
        </w:rPr>
        <w:t>万元，</w:t>
      </w:r>
      <w:r>
        <w:rPr>
          <w:rFonts w:hint="eastAsia" w:ascii="仿宋_GB2312" w:eastAsia="仿宋_GB2312" w:cs="仿宋_GB2312"/>
          <w:color w:val="000000" w:themeColor="text1"/>
          <w:spacing w:val="0"/>
          <w:sz w:val="32"/>
          <w:szCs w:val="32"/>
          <w:lang w:val="en-US" w:eastAsia="zh-CN"/>
          <w14:textFill>
            <w14:solidFill>
              <w14:schemeClr w14:val="tx1"/>
            </w14:solidFill>
          </w14:textFill>
        </w:rPr>
        <w:t>较</w:t>
      </w:r>
      <w:r>
        <w:rPr>
          <w:rFonts w:hint="eastAsia" w:ascii="仿宋_GB2312" w:eastAsia="仿宋_GB2312" w:cs="仿宋_GB2312"/>
          <w:color w:val="000000" w:themeColor="text1"/>
          <w:spacing w:val="0"/>
          <w:sz w:val="32"/>
          <w:szCs w:val="32"/>
          <w14:textFill>
            <w14:solidFill>
              <w14:schemeClr w14:val="tx1"/>
            </w14:solidFill>
          </w14:textFill>
        </w:rPr>
        <w:t>2025</w:t>
      </w:r>
      <w:r>
        <w:rPr>
          <w:rFonts w:ascii="仿宋_GB2312" w:eastAsia="仿宋_GB2312" w:cs="仿宋_GB2312"/>
          <w:color w:val="000000" w:themeColor="text1"/>
          <w:spacing w:val="0"/>
          <w:sz w:val="32"/>
          <w:szCs w:val="32"/>
          <w14:textFill>
            <w14:solidFill>
              <w14:schemeClr w14:val="tx1"/>
            </w14:solidFill>
          </w14:textFill>
        </w:rPr>
        <w:t>年完成数</w:t>
      </w:r>
      <w:r>
        <w:rPr>
          <w:rFonts w:hint="eastAsia" w:ascii="仿宋_GB2312" w:eastAsia="仿宋_GB2312" w:cs="仿宋_GB2312"/>
          <w:color w:val="000000" w:themeColor="text1"/>
          <w:spacing w:val="0"/>
          <w:sz w:val="32"/>
          <w:szCs w:val="32"/>
          <w14:textFill>
            <w14:solidFill>
              <w14:schemeClr w14:val="tx1"/>
            </w14:solidFill>
          </w14:textFill>
        </w:rPr>
        <w:t>16332</w:t>
      </w:r>
      <w:r>
        <w:rPr>
          <w:rFonts w:ascii="仿宋_GB2312" w:eastAsia="仿宋_GB2312" w:cs="仿宋_GB2312"/>
          <w:color w:val="000000" w:themeColor="text1"/>
          <w:spacing w:val="0"/>
          <w:sz w:val="32"/>
          <w:szCs w:val="32"/>
          <w14:textFill>
            <w14:solidFill>
              <w14:schemeClr w14:val="tx1"/>
            </w14:solidFill>
          </w14:textFill>
        </w:rPr>
        <w:t>万元增长</w:t>
      </w:r>
      <w:r>
        <w:rPr>
          <w:rFonts w:hint="eastAsia" w:ascii="仿宋_GB2312" w:eastAsia="仿宋_GB2312" w:cs="仿宋_GB2312"/>
          <w:color w:val="000000" w:themeColor="text1"/>
          <w:spacing w:val="0"/>
          <w:sz w:val="32"/>
          <w:szCs w:val="32"/>
          <w14:textFill>
            <w14:solidFill>
              <w14:schemeClr w14:val="tx1"/>
            </w14:solidFill>
          </w14:textFill>
        </w:rPr>
        <w:t>22.37</w:t>
      </w:r>
      <w:r>
        <w:rPr>
          <w:rFonts w:ascii="仿宋_GB2312" w:eastAsia="仿宋_GB2312" w:cs="仿宋_GB2312"/>
          <w:color w:val="000000" w:themeColor="text1"/>
          <w:spacing w:val="0"/>
          <w:sz w:val="32"/>
          <w:szCs w:val="32"/>
          <w14:textFill>
            <w14:solidFill>
              <w14:schemeClr w14:val="tx1"/>
            </w14:solidFill>
          </w14:textFill>
        </w:rPr>
        <w:t>%。</w:t>
      </w:r>
    </w:p>
    <w:p w14:paraId="1F7A34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olor w:val="000000" w:themeColor="text1"/>
          <w:spacing w:val="0"/>
          <w:sz w:val="32"/>
          <w:szCs w:val="32"/>
          <w14:textFill>
            <w14:solidFill>
              <w14:schemeClr w14:val="tx1"/>
            </w14:solidFill>
          </w14:textFill>
        </w:rPr>
      </w:pPr>
      <w:r>
        <w:rPr>
          <w:rFonts w:hint="eastAsia" w:ascii="仿宋_GB2312" w:eastAsia="仿宋_GB2312" w:cs="仿宋_GB2312"/>
          <w:b/>
          <w:bCs/>
          <w:color w:val="000000" w:themeColor="text1"/>
          <w:spacing w:val="0"/>
          <w:sz w:val="32"/>
          <w:szCs w:val="32"/>
          <w14:textFill>
            <w14:solidFill>
              <w14:schemeClr w14:val="tx1"/>
            </w14:solidFill>
          </w14:textFill>
        </w:rPr>
        <w:t>4.国有资本经营预算。</w:t>
      </w:r>
      <w:r>
        <w:rPr>
          <w:rFonts w:hint="eastAsia" w:ascii="仿宋_GB2312" w:eastAsia="仿宋_GB2312"/>
          <w:color w:val="000000" w:themeColor="text1"/>
          <w:spacing w:val="0"/>
          <w:sz w:val="32"/>
          <w:szCs w:val="32"/>
          <w14:textFill>
            <w14:solidFill>
              <w14:schemeClr w14:val="tx1"/>
            </w14:solidFill>
          </w14:textFill>
        </w:rPr>
        <w:t>预计县级国有资本经营收入</w:t>
      </w:r>
      <w:r>
        <w:rPr>
          <w:rFonts w:hint="eastAsia" w:ascii="仿宋_GB2312" w:eastAsia="仿宋_GB2312" w:cs="仿宋_GB2312"/>
          <w:color w:val="000000" w:themeColor="text1"/>
          <w:spacing w:val="0"/>
          <w:sz w:val="32"/>
          <w:szCs w:val="32"/>
          <w14:textFill>
            <w14:solidFill>
              <w14:schemeClr w14:val="tx1"/>
            </w14:solidFill>
          </w14:textFill>
        </w:rPr>
        <w:t>30</w:t>
      </w:r>
      <w:r>
        <w:rPr>
          <w:rFonts w:hint="eastAsia" w:ascii="仿宋_GB2312" w:eastAsia="仿宋_GB2312"/>
          <w:color w:val="000000" w:themeColor="text1"/>
          <w:spacing w:val="0"/>
          <w:sz w:val="32"/>
          <w:szCs w:val="32"/>
          <w14:textFill>
            <w14:solidFill>
              <w14:schemeClr w14:val="tx1"/>
            </w14:solidFill>
          </w14:textFill>
        </w:rPr>
        <w:t>万元，加上级转移支付补助收入</w:t>
      </w:r>
      <w:r>
        <w:rPr>
          <w:rFonts w:hint="eastAsia" w:ascii="仿宋_GB2312" w:eastAsia="仿宋_GB2312" w:cs="仿宋_GB2312"/>
          <w:color w:val="000000" w:themeColor="text1"/>
          <w:spacing w:val="0"/>
          <w:sz w:val="32"/>
          <w:szCs w:val="32"/>
          <w14:textFill>
            <w14:solidFill>
              <w14:schemeClr w14:val="tx1"/>
            </w14:solidFill>
          </w14:textFill>
        </w:rPr>
        <w:t>1</w:t>
      </w:r>
      <w:r>
        <w:rPr>
          <w:rFonts w:hint="eastAsia" w:ascii="仿宋_GB2312" w:eastAsia="仿宋_GB2312"/>
          <w:color w:val="000000" w:themeColor="text1"/>
          <w:spacing w:val="0"/>
          <w:sz w:val="32"/>
          <w:szCs w:val="32"/>
          <w14:textFill>
            <w14:solidFill>
              <w14:schemeClr w14:val="tx1"/>
            </w14:solidFill>
          </w14:textFill>
        </w:rPr>
        <w:t>万元、上年结转收入</w:t>
      </w:r>
      <w:r>
        <w:rPr>
          <w:rFonts w:hint="eastAsia" w:ascii="仿宋_GB2312" w:eastAsia="仿宋_GB2312" w:cs="仿宋_GB2312"/>
          <w:color w:val="000000" w:themeColor="text1"/>
          <w:spacing w:val="0"/>
          <w:sz w:val="32"/>
          <w:szCs w:val="32"/>
          <w14:textFill>
            <w14:solidFill>
              <w14:schemeClr w14:val="tx1"/>
            </w14:solidFill>
          </w14:textFill>
        </w:rPr>
        <w:t>41</w:t>
      </w:r>
      <w:r>
        <w:rPr>
          <w:rFonts w:hint="eastAsia" w:ascii="仿宋_GB2312" w:eastAsia="仿宋_GB2312"/>
          <w:color w:val="000000" w:themeColor="text1"/>
          <w:spacing w:val="0"/>
          <w:sz w:val="32"/>
          <w:szCs w:val="32"/>
          <w14:textFill>
            <w14:solidFill>
              <w14:schemeClr w14:val="tx1"/>
            </w14:solidFill>
          </w14:textFill>
        </w:rPr>
        <w:t>万元，国有资本经营收入总量为</w:t>
      </w:r>
      <w:r>
        <w:rPr>
          <w:rFonts w:hint="eastAsia" w:ascii="仿宋_GB2312" w:eastAsia="仿宋_GB2312" w:cs="仿宋_GB2312"/>
          <w:color w:val="000000" w:themeColor="text1"/>
          <w:spacing w:val="0"/>
          <w:sz w:val="32"/>
          <w:szCs w:val="32"/>
          <w14:textFill>
            <w14:solidFill>
              <w14:schemeClr w14:val="tx1"/>
            </w14:solidFill>
          </w14:textFill>
        </w:rPr>
        <w:t>72</w:t>
      </w:r>
      <w:r>
        <w:rPr>
          <w:rFonts w:hint="eastAsia" w:ascii="仿宋_GB2312" w:eastAsia="仿宋_GB2312"/>
          <w:color w:val="000000" w:themeColor="text1"/>
          <w:spacing w:val="0"/>
          <w:sz w:val="32"/>
          <w:szCs w:val="32"/>
          <w14:textFill>
            <w14:solidFill>
              <w14:schemeClr w14:val="tx1"/>
            </w14:solidFill>
          </w14:textFill>
        </w:rPr>
        <w:t>万元。按照收支平衡原则，相应安排国有资本经营预算支出</w:t>
      </w:r>
      <w:r>
        <w:rPr>
          <w:rFonts w:hint="eastAsia" w:ascii="仿宋_GB2312" w:eastAsia="仿宋_GB2312" w:cs="仿宋_GB2312"/>
          <w:color w:val="000000" w:themeColor="text1"/>
          <w:spacing w:val="0"/>
          <w:sz w:val="32"/>
          <w:szCs w:val="32"/>
          <w14:textFill>
            <w14:solidFill>
              <w14:schemeClr w14:val="tx1"/>
            </w14:solidFill>
          </w14:textFill>
        </w:rPr>
        <w:t>72</w:t>
      </w:r>
      <w:r>
        <w:rPr>
          <w:rFonts w:hint="eastAsia" w:ascii="仿宋_GB2312" w:eastAsia="仿宋_GB2312"/>
          <w:color w:val="000000" w:themeColor="text1"/>
          <w:spacing w:val="0"/>
          <w:sz w:val="32"/>
          <w:szCs w:val="32"/>
          <w14:textFill>
            <w14:solidFill>
              <w14:schemeClr w14:val="tx1"/>
            </w14:solidFill>
          </w14:textFill>
        </w:rPr>
        <w:t>万元，主要用于补充社保基金、解决改制企业遗留问题等支出。</w:t>
      </w:r>
    </w:p>
    <w:p w14:paraId="2E481F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_GB2312" w:eastAsia="楷体_GB2312" w:cs="楷体_GB2312"/>
          <w:b/>
          <w:bCs/>
          <w:color w:val="000000" w:themeColor="text1"/>
          <w:spacing w:val="0"/>
          <w:sz w:val="32"/>
          <w:szCs w:val="32"/>
          <w14:textFill>
            <w14:solidFill>
              <w14:schemeClr w14:val="tx1"/>
            </w14:solidFill>
          </w14:textFill>
        </w:rPr>
      </w:pPr>
      <w:r>
        <w:rPr>
          <w:rFonts w:hint="eastAsia" w:ascii="楷体_GB2312" w:eastAsia="楷体_GB2312" w:cs="楷体_GB2312"/>
          <w:b/>
          <w:bCs/>
          <w:color w:val="000000" w:themeColor="text1"/>
          <w:spacing w:val="0"/>
          <w:sz w:val="32"/>
          <w:szCs w:val="32"/>
          <w14:textFill>
            <w14:solidFill>
              <w14:schemeClr w14:val="tx1"/>
            </w14:solidFill>
          </w14:textFill>
        </w:rPr>
        <w:t>（三）2026年政府采购预算（草案）</w:t>
      </w:r>
    </w:p>
    <w:p w14:paraId="1D16BE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pacing w:val="0"/>
          <w:sz w:val="32"/>
          <w:szCs w:val="32"/>
          <w:lang w:eastAsia="zh-CN"/>
          <w14:textFill>
            <w14:solidFill>
              <w14:schemeClr w14:val="tx1"/>
            </w14:solidFill>
          </w14:textFill>
        </w:rPr>
      </w:pPr>
      <w:r>
        <w:rPr>
          <w:rFonts w:hint="eastAsia" w:ascii="仿宋_GB2312" w:eastAsia="仿宋_GB2312"/>
          <w:color w:val="000000" w:themeColor="text1"/>
          <w:spacing w:val="0"/>
          <w:sz w:val="32"/>
          <w:szCs w:val="32"/>
          <w14:textFill>
            <w14:solidFill>
              <w14:schemeClr w14:val="tx1"/>
            </w14:solidFill>
          </w14:textFill>
        </w:rPr>
        <w:t>依据政府集中采购目录和采购限额标准，</w:t>
      </w:r>
      <w:r>
        <w:rPr>
          <w:rFonts w:hint="eastAsia" w:ascii="仿宋_GB2312" w:eastAsia="仿宋_GB2312"/>
          <w:color w:val="000000" w:themeColor="text1"/>
          <w:spacing w:val="0"/>
          <w:sz w:val="32"/>
          <w:szCs w:val="32"/>
          <w:lang w:eastAsia="zh-CN"/>
          <w14:textFill>
            <w14:solidFill>
              <w14:schemeClr w14:val="tx1"/>
            </w14:solidFill>
          </w14:textFill>
        </w:rPr>
        <w:t>科学细化预算，确保应编尽编，</w:t>
      </w:r>
      <w:r>
        <w:rPr>
          <w:rFonts w:hint="eastAsia" w:ascii="仿宋_GB2312" w:eastAsia="仿宋_GB2312"/>
          <w:color w:val="000000" w:themeColor="text1"/>
          <w:spacing w:val="0"/>
          <w:sz w:val="32"/>
          <w:szCs w:val="32"/>
          <w14:textFill>
            <w14:solidFill>
              <w14:schemeClr w14:val="tx1"/>
            </w14:solidFill>
          </w14:textFill>
        </w:rPr>
        <w:t>预计</w:t>
      </w:r>
      <w:r>
        <w:rPr>
          <w:rFonts w:hint="eastAsia" w:ascii="仿宋_GB2312" w:eastAsia="仿宋_GB2312"/>
          <w:color w:val="000000" w:themeColor="text1"/>
          <w:spacing w:val="0"/>
          <w:sz w:val="32"/>
          <w:szCs w:val="32"/>
          <w:lang w:val="en-US" w:eastAsia="zh-CN"/>
          <w14:textFill>
            <w14:solidFill>
              <w14:schemeClr w14:val="tx1"/>
            </w14:solidFill>
          </w14:textFill>
        </w:rPr>
        <w:t>2026年度</w:t>
      </w:r>
      <w:r>
        <w:rPr>
          <w:rFonts w:hint="eastAsia" w:ascii="仿宋_GB2312" w:eastAsia="仿宋_GB2312"/>
          <w:color w:val="000000" w:themeColor="text1"/>
          <w:spacing w:val="0"/>
          <w:sz w:val="32"/>
          <w:szCs w:val="32"/>
          <w14:textFill>
            <w14:solidFill>
              <w14:schemeClr w14:val="tx1"/>
            </w14:solidFill>
          </w14:textFill>
        </w:rPr>
        <w:t>政府采购总量为225</w:t>
      </w:r>
      <w:r>
        <w:rPr>
          <w:rFonts w:hint="eastAsia" w:ascii="仿宋_GB2312" w:eastAsia="仿宋_GB2312"/>
          <w:color w:val="000000" w:themeColor="text1"/>
          <w:spacing w:val="0"/>
          <w:sz w:val="32"/>
          <w:szCs w:val="32"/>
          <w:lang w:val="en-US" w:eastAsia="zh-CN"/>
          <w14:textFill>
            <w14:solidFill>
              <w14:schemeClr w14:val="tx1"/>
            </w14:solidFill>
          </w14:textFill>
        </w:rPr>
        <w:t>4</w:t>
      </w:r>
      <w:r>
        <w:rPr>
          <w:rFonts w:hint="eastAsia" w:ascii="仿宋_GB2312" w:eastAsia="仿宋_GB2312"/>
          <w:color w:val="000000" w:themeColor="text1"/>
          <w:spacing w:val="0"/>
          <w:sz w:val="32"/>
          <w:szCs w:val="32"/>
          <w14:textFill>
            <w14:solidFill>
              <w14:schemeClr w14:val="tx1"/>
            </w14:solidFill>
          </w14:textFill>
        </w:rPr>
        <w:t>.13万元</w:t>
      </w:r>
      <w:r>
        <w:rPr>
          <w:rFonts w:hint="eastAsia" w:ascii="仿宋_GB2312" w:eastAsia="仿宋_GB2312"/>
          <w:color w:val="000000" w:themeColor="text1"/>
          <w:spacing w:val="0"/>
          <w:sz w:val="32"/>
          <w:szCs w:val="32"/>
          <w:lang w:eastAsia="zh-CN"/>
          <w14:textFill>
            <w14:solidFill>
              <w14:schemeClr w14:val="tx1"/>
            </w14:solidFill>
          </w14:textFill>
        </w:rPr>
        <w:t>，其中：</w:t>
      </w:r>
      <w:r>
        <w:rPr>
          <w:rFonts w:hint="eastAsia" w:ascii="仿宋_GB2312" w:eastAsia="仿宋_GB2312"/>
          <w:color w:val="000000" w:themeColor="text1"/>
          <w:spacing w:val="0"/>
          <w:sz w:val="32"/>
          <w:szCs w:val="32"/>
          <w14:textFill>
            <w14:solidFill>
              <w14:schemeClr w14:val="tx1"/>
            </w14:solidFill>
          </w14:textFill>
        </w:rPr>
        <w:t>部门基本支出</w:t>
      </w:r>
      <w:r>
        <w:rPr>
          <w:rFonts w:hint="eastAsia" w:ascii="仿宋_GB2312" w:eastAsia="仿宋_GB2312"/>
          <w:color w:val="000000" w:themeColor="text1"/>
          <w:spacing w:val="0"/>
          <w:sz w:val="32"/>
          <w:szCs w:val="32"/>
          <w:lang w:val="en-US" w:eastAsia="zh-CN"/>
          <w14:textFill>
            <w14:solidFill>
              <w14:schemeClr w14:val="tx1"/>
            </w14:solidFill>
          </w14:textFill>
        </w:rPr>
        <w:t>693.26</w:t>
      </w:r>
      <w:r>
        <w:rPr>
          <w:rFonts w:hint="eastAsia" w:ascii="仿宋_GB2312" w:eastAsia="仿宋_GB2312"/>
          <w:color w:val="000000" w:themeColor="text1"/>
          <w:spacing w:val="0"/>
          <w:sz w:val="32"/>
          <w:szCs w:val="32"/>
          <w14:textFill>
            <w14:solidFill>
              <w14:schemeClr w14:val="tx1"/>
            </w14:solidFill>
          </w14:textFill>
        </w:rPr>
        <w:t>万元，本级专项支出1280.8万元，上级专项支出66.42万元，单位自有及其他资金213.65万元</w:t>
      </w:r>
      <w:r>
        <w:rPr>
          <w:rFonts w:hint="eastAsia" w:ascii="仿宋_GB2312" w:eastAsia="仿宋_GB2312"/>
          <w:color w:val="000000" w:themeColor="text1"/>
          <w:spacing w:val="0"/>
          <w:sz w:val="32"/>
          <w:szCs w:val="32"/>
          <w:lang w:eastAsia="zh-CN"/>
          <w14:textFill>
            <w14:solidFill>
              <w14:schemeClr w14:val="tx1"/>
            </w14:solidFill>
          </w14:textFill>
        </w:rPr>
        <w:t>。</w:t>
      </w:r>
    </w:p>
    <w:p w14:paraId="2F3F84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eastAsia="黑体" w:cs="黑体"/>
          <w:color w:val="000000" w:themeColor="text1"/>
          <w:spacing w:val="0"/>
          <w:sz w:val="32"/>
          <w:szCs w:val="32"/>
          <w14:textFill>
            <w14:solidFill>
              <w14:schemeClr w14:val="tx1"/>
            </w14:solidFill>
          </w14:textFill>
        </w:rPr>
      </w:pPr>
      <w:r>
        <w:rPr>
          <w:rFonts w:hint="eastAsia" w:ascii="黑体" w:eastAsia="黑体" w:cs="黑体"/>
          <w:color w:val="000000" w:themeColor="text1"/>
          <w:spacing w:val="0"/>
          <w:sz w:val="32"/>
          <w:szCs w:val="32"/>
          <w14:textFill>
            <w14:solidFill>
              <w14:schemeClr w14:val="tx1"/>
            </w14:solidFill>
          </w14:textFill>
        </w:rPr>
        <w:t>四、2026年财政重点工作</w:t>
      </w:r>
    </w:p>
    <w:p w14:paraId="32C3405C">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ascii="仿宋_GB2312" w:eastAsia="仿宋_GB2312"/>
          <w:spacing w:val="0"/>
          <w:sz w:val="32"/>
          <w:szCs w:val="32"/>
        </w:rPr>
      </w:pPr>
      <w:r>
        <w:rPr>
          <w:rFonts w:hint="eastAsia" w:ascii="楷体_GB2312" w:hAnsi="Calibri" w:eastAsia="楷体_GB2312" w:cs="楷体_GB2312"/>
          <w:b/>
          <w:bCs/>
          <w:color w:val="000000" w:themeColor="text1"/>
          <w:spacing w:val="0"/>
          <w:sz w:val="32"/>
          <w:szCs w:val="32"/>
          <w14:textFill>
            <w14:solidFill>
              <w14:schemeClr w14:val="tx1"/>
            </w14:solidFill>
          </w14:textFill>
        </w:rPr>
        <w:t>（一）坚持强基固本，千方百计增加收入。</w:t>
      </w:r>
      <w:r>
        <w:rPr>
          <w:rFonts w:hint="eastAsia" w:ascii="仿宋_GB2312" w:eastAsia="仿宋_GB2312"/>
          <w:b/>
          <w:bCs/>
          <w:spacing w:val="0"/>
          <w:sz w:val="32"/>
          <w:szCs w:val="32"/>
        </w:rPr>
        <w:t>一是狠抓税收收入。</w:t>
      </w:r>
      <w:r>
        <w:rPr>
          <w:rFonts w:hint="eastAsia" w:ascii="仿宋_GB2312" w:eastAsia="仿宋_GB2312"/>
          <w:spacing w:val="0"/>
          <w:sz w:val="32"/>
          <w:szCs w:val="32"/>
        </w:rPr>
        <w:t>加大统筹财税征管力量，联合税务、自然资源、住建等部门和乡镇精准发力，聚焦重点区域、重点行业和重点税源企业，抓好住宿餐饮等薄弱环节税收征管以及企业欠税，做到依法征收、应收尽收。</w:t>
      </w:r>
      <w:r>
        <w:rPr>
          <w:rFonts w:hint="eastAsia" w:ascii="仿宋_GB2312" w:eastAsia="仿宋_GB2312"/>
          <w:b/>
          <w:bCs/>
          <w:spacing w:val="0"/>
          <w:sz w:val="32"/>
          <w:szCs w:val="32"/>
        </w:rPr>
        <w:t>二是狠抓非税收入。</w:t>
      </w:r>
      <w:r>
        <w:rPr>
          <w:rFonts w:hint="eastAsia" w:ascii="仿宋_GB2312" w:eastAsia="仿宋_GB2312"/>
          <w:spacing w:val="0"/>
          <w:sz w:val="32"/>
          <w:szCs w:val="32"/>
        </w:rPr>
        <w:t>全面清理盘活各类资产资源，抓好土地、矿业权等资源出让，提升公共资源使用效率和效益，推进非税收入管理科学化、规范化和精细化。</w:t>
      </w:r>
      <w:r>
        <w:rPr>
          <w:rFonts w:hint="eastAsia" w:ascii="仿宋_GB2312" w:eastAsia="仿宋_GB2312"/>
          <w:b/>
          <w:bCs/>
          <w:spacing w:val="0"/>
          <w:sz w:val="32"/>
          <w:szCs w:val="32"/>
        </w:rPr>
        <w:t>三是狠抓立项争资。</w:t>
      </w:r>
      <w:r>
        <w:rPr>
          <w:rFonts w:hint="eastAsia" w:ascii="仿宋_GB2312" w:eastAsia="仿宋_GB2312"/>
          <w:spacing w:val="0"/>
          <w:sz w:val="32"/>
          <w:szCs w:val="32"/>
        </w:rPr>
        <w:t>紧扣国家政策支持导向，充分发挥财政职能，抢抓政策机遇，强化政策研判，精准谋划项目，全力做好项目开发和储备，做实做优立项争资基础工作；主动配合各部门单位做好项目策划和包装，加强与上级主管部门的对接，积极争取上级支持，协同联动、同向发力、形成合力，争取更多项目入库，更多资金到位。</w:t>
      </w:r>
    </w:p>
    <w:p w14:paraId="0788E0B8">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ascii="仿宋_GB2312" w:eastAsia="仿宋_GB2312"/>
          <w:spacing w:val="0"/>
          <w:sz w:val="32"/>
          <w:szCs w:val="32"/>
        </w:rPr>
      </w:pPr>
      <w:r>
        <w:rPr>
          <w:rFonts w:hint="eastAsia" w:ascii="楷体_GB2312" w:hAnsi="Calibri" w:eastAsia="楷体_GB2312" w:cs="楷体_GB2312"/>
          <w:b/>
          <w:bCs/>
          <w:color w:val="000000" w:themeColor="text1"/>
          <w:spacing w:val="0"/>
          <w:sz w:val="32"/>
          <w:szCs w:val="32"/>
          <w14:textFill>
            <w14:solidFill>
              <w14:schemeClr w14:val="tx1"/>
            </w14:solidFill>
          </w14:textFill>
        </w:rPr>
        <w:t>（二）坚持过紧日子，多措并举抓好节流。</w:t>
      </w:r>
      <w:r>
        <w:rPr>
          <w:rFonts w:hint="eastAsia" w:ascii="仿宋_GB2312" w:eastAsia="仿宋_GB2312"/>
          <w:b/>
          <w:bCs/>
          <w:spacing w:val="0"/>
          <w:sz w:val="32"/>
          <w:szCs w:val="32"/>
        </w:rPr>
        <w:t>一是严控“三公”经费。</w:t>
      </w:r>
      <w:r>
        <w:rPr>
          <w:rFonts w:hint="eastAsia" w:ascii="仿宋_GB2312" w:eastAsia="仿宋_GB2312"/>
          <w:spacing w:val="0"/>
          <w:sz w:val="32"/>
          <w:szCs w:val="32"/>
        </w:rPr>
        <w:t>坚决落实党政机关“过紧日子”要求，按照只减不增原则安排“三公”经费预算，严把资金绩效，盘活存量资金，严格执行结转结余资金清理，推动财政资金优化配置、高效使用。</w:t>
      </w:r>
      <w:r>
        <w:rPr>
          <w:rFonts w:hint="eastAsia" w:ascii="仿宋_GB2312" w:eastAsia="仿宋_GB2312"/>
          <w:b/>
          <w:bCs/>
          <w:spacing w:val="0"/>
          <w:sz w:val="32"/>
          <w:szCs w:val="32"/>
        </w:rPr>
        <w:t>二是厉行节约勤俭办事。</w:t>
      </w:r>
      <w:r>
        <w:rPr>
          <w:rFonts w:hint="eastAsia" w:ascii="仿宋_GB2312" w:eastAsia="仿宋_GB2312"/>
          <w:spacing w:val="0"/>
          <w:sz w:val="32"/>
          <w:szCs w:val="32"/>
        </w:rPr>
        <w:t>科学安排人员经费和非刚性支出，分类建立财政供养人员和编外人员规范管理制度。进一步规范全县政府购买服务行为，按照“只出不进、严格管控”原则，严控财政供养人员增长。</w:t>
      </w:r>
      <w:r>
        <w:rPr>
          <w:rFonts w:hint="eastAsia" w:ascii="仿宋_GB2312" w:eastAsia="仿宋_GB2312"/>
          <w:b/>
          <w:bCs/>
          <w:spacing w:val="0"/>
          <w:sz w:val="32"/>
          <w:szCs w:val="32"/>
        </w:rPr>
        <w:t>三是压减非急迫项目。</w:t>
      </w:r>
      <w:r>
        <w:rPr>
          <w:rFonts w:hint="eastAsia" w:ascii="仿宋_GB2312" w:eastAsia="仿宋_GB2312"/>
          <w:spacing w:val="0"/>
          <w:sz w:val="32"/>
          <w:szCs w:val="32"/>
        </w:rPr>
        <w:t>用好绩效评价手段，对低效无效项目予以取消或压缩、对高效益高产出项目予以倾斜、对长远战略项目加强保障，充分体现“花钱必问效”。</w:t>
      </w:r>
      <w:r>
        <w:rPr>
          <w:rFonts w:hint="eastAsia" w:ascii="仿宋_GB2312" w:eastAsia="仿宋_GB2312"/>
          <w:b/>
          <w:bCs/>
          <w:spacing w:val="0"/>
          <w:sz w:val="32"/>
          <w:szCs w:val="32"/>
        </w:rPr>
        <w:t>四是加强政府采购监管。</w:t>
      </w:r>
      <w:r>
        <w:rPr>
          <w:rFonts w:hint="eastAsia" w:ascii="仿宋_GB2312" w:eastAsia="仿宋_GB2312"/>
          <w:spacing w:val="0"/>
          <w:sz w:val="32"/>
          <w:szCs w:val="32"/>
        </w:rPr>
        <w:t>严格落实采购人主体责任，完善政府采购内控管理，科学合理编制节俭、适用的政府采购预算，不断提升政府采购透明度和规范性，促进政府采购领域公平竞争，推进惠企政策落地，有效释放市场活力。</w:t>
      </w:r>
    </w:p>
    <w:p w14:paraId="29219769">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ascii="仿宋_GB2312" w:eastAsia="仿宋_GB2312"/>
          <w:spacing w:val="0"/>
          <w:sz w:val="32"/>
          <w:szCs w:val="32"/>
        </w:rPr>
      </w:pPr>
      <w:r>
        <w:rPr>
          <w:rFonts w:hint="eastAsia" w:ascii="楷体_GB2312" w:hAnsi="Calibri" w:eastAsia="楷体_GB2312" w:cs="楷体_GB2312"/>
          <w:b/>
          <w:bCs/>
          <w:color w:val="000000" w:themeColor="text1"/>
          <w:spacing w:val="0"/>
          <w:sz w:val="32"/>
          <w:szCs w:val="32"/>
          <w14:textFill>
            <w14:solidFill>
              <w14:schemeClr w14:val="tx1"/>
            </w14:solidFill>
          </w14:textFill>
        </w:rPr>
        <w:t>（三）坚持保障重点，助推经济稳中向好。</w:t>
      </w:r>
      <w:r>
        <w:rPr>
          <w:rFonts w:hint="eastAsia" w:ascii="仿宋_GB2312" w:eastAsia="仿宋_GB2312"/>
          <w:b/>
          <w:bCs/>
          <w:spacing w:val="0"/>
          <w:sz w:val="32"/>
          <w:szCs w:val="32"/>
        </w:rPr>
        <w:t>一是扎实推动重大政策落地见效。</w:t>
      </w:r>
      <w:r>
        <w:rPr>
          <w:rFonts w:hint="eastAsia" w:ascii="仿宋_GB2312" w:eastAsia="仿宋_GB2312"/>
          <w:spacing w:val="0"/>
          <w:sz w:val="32"/>
          <w:szCs w:val="32"/>
        </w:rPr>
        <w:t>充分发挥“两新”等激励性政策作用，用好用足专项债</w:t>
      </w:r>
      <w:r>
        <w:rPr>
          <w:rFonts w:hint="eastAsia" w:ascii="仿宋_GB2312" w:eastAsia="仿宋_GB2312"/>
          <w:spacing w:val="0"/>
          <w:sz w:val="32"/>
          <w:szCs w:val="32"/>
          <w:lang w:val="en-US" w:eastAsia="zh-CN"/>
        </w:rPr>
        <w:t>券</w:t>
      </w:r>
      <w:r>
        <w:rPr>
          <w:rFonts w:hint="eastAsia" w:ascii="仿宋_GB2312" w:eastAsia="仿宋_GB2312"/>
          <w:spacing w:val="0"/>
          <w:sz w:val="32"/>
          <w:szCs w:val="32"/>
        </w:rPr>
        <w:t>、超长期特别国债等各类资金，加快推动项目建设提速增效，谋划一批带动能力强的重大项目。落实好大规模设备更新和消费品以旧换新等优惠政策，深入挖掘消费增长潜力，积极支持各类促消费活动，培育新型消费业态，优化消费结构。</w:t>
      </w:r>
      <w:r>
        <w:rPr>
          <w:rFonts w:hint="eastAsia" w:ascii="仿宋_GB2312" w:eastAsia="仿宋_GB2312"/>
          <w:b/>
          <w:bCs/>
          <w:spacing w:val="0"/>
          <w:sz w:val="32"/>
          <w:szCs w:val="32"/>
        </w:rPr>
        <w:t>二是支持传统产业改造升级。</w:t>
      </w:r>
      <w:r>
        <w:rPr>
          <w:rFonts w:hint="eastAsia" w:ascii="仿宋_GB2312" w:eastAsia="仿宋_GB2312"/>
          <w:spacing w:val="0"/>
          <w:sz w:val="32"/>
          <w:szCs w:val="32"/>
        </w:rPr>
        <w:t>坚持以实体经济为本，深入实施设备更新和技术改造重点行动，尽力帮助企业纾困解难、降本增效，提振企业发展信心。围绕市场主体需求，组合使用税费优惠、财政补助、融资担保等多种政策工具，加强对中小微企业纾困帮扶，不断增强企业发展动力。</w:t>
      </w:r>
      <w:r>
        <w:rPr>
          <w:rFonts w:hint="eastAsia" w:ascii="仿宋_GB2312" w:eastAsia="仿宋_GB2312"/>
          <w:b/>
          <w:bCs/>
          <w:spacing w:val="0"/>
          <w:sz w:val="32"/>
          <w:szCs w:val="32"/>
        </w:rPr>
        <w:t>三是支持县属企业做大做强。</w:t>
      </w:r>
      <w:r>
        <w:rPr>
          <w:rFonts w:hint="eastAsia" w:ascii="仿宋_GB2312" w:eastAsia="仿宋_GB2312"/>
          <w:spacing w:val="0"/>
          <w:sz w:val="32"/>
          <w:szCs w:val="32"/>
        </w:rPr>
        <w:t>进一步强化党在国企治理中的领导力，完善“三重一大”决策制度，进一步厘清党组织与其他治理主体的权责边界，理顺决策程序，实现制度化、规范化、程序化。深化国有经济布局，发挥祁源投资公司作用，推动绿色生态大景区项目落地；壮大战略性新兴产业，加快马鹿文化产业园和神鹿公园建设，开展鹿文化活动，推进鹿产品研发及旅游项目，助力企业转型；推进现代农业融合，推广“牧光互补”模式，探索更多农光结合路径。持续加强国资监管，强化对企业财务报告的审核与监督，严肃财经纪律。进一步加快我县融资平台公司退出融资序列转型发展，提高市场化转型能力，有效防范化解政府性债务风险，扩大有效投资，推动我县经济高质量发展。</w:t>
      </w:r>
      <w:r>
        <w:rPr>
          <w:rFonts w:hint="eastAsia" w:ascii="仿宋_GB2312" w:eastAsia="仿宋_GB2312"/>
          <w:b/>
          <w:bCs/>
          <w:spacing w:val="0"/>
          <w:sz w:val="32"/>
          <w:szCs w:val="32"/>
        </w:rPr>
        <w:t>四是着力支持民生事业。</w:t>
      </w:r>
      <w:r>
        <w:rPr>
          <w:rFonts w:hint="eastAsia" w:ascii="仿宋_GB2312" w:eastAsia="仿宋_GB2312"/>
          <w:spacing w:val="0"/>
          <w:sz w:val="32"/>
          <w:szCs w:val="32"/>
        </w:rPr>
        <w:t>优先保障民生支出需求，争取民生类支出占一般公共预算支出的80%左右，重点支持提高就业质量，落实落细稳就业和补贴政策；</w:t>
      </w:r>
      <w:bookmarkStart w:id="12" w:name="OLE_LINK6"/>
      <w:r>
        <w:rPr>
          <w:rFonts w:hint="eastAsia" w:ascii="仿宋_GB2312" w:eastAsia="仿宋_GB2312"/>
          <w:spacing w:val="0"/>
          <w:sz w:val="32"/>
          <w:szCs w:val="32"/>
        </w:rPr>
        <w:t>支持卫生事业发展，</w:t>
      </w:r>
      <w:bookmarkEnd w:id="12"/>
      <w:r>
        <w:rPr>
          <w:rFonts w:hint="eastAsia" w:ascii="仿宋_GB2312" w:eastAsia="仿宋_GB2312"/>
          <w:spacing w:val="0"/>
          <w:sz w:val="32"/>
          <w:szCs w:val="32"/>
        </w:rPr>
        <w:t>提升县域整体医疗服务能力；支持教育优先发展，推动文化旅游体育繁荣发展；完善社会保障体系，大力推动健康养老服务体系建设，扎实做好困难群众基本生活兜底保障。</w:t>
      </w:r>
    </w:p>
    <w:p w14:paraId="08BA6333">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ascii="仿宋_GB2312" w:eastAsia="仿宋_GB2312"/>
          <w:spacing w:val="0"/>
          <w:sz w:val="32"/>
          <w:szCs w:val="32"/>
        </w:rPr>
      </w:pPr>
      <w:r>
        <w:rPr>
          <w:rFonts w:hint="eastAsia" w:ascii="楷体_GB2312" w:hAnsi="Calibri" w:eastAsia="楷体_GB2312" w:cs="楷体_GB2312"/>
          <w:b/>
          <w:bCs/>
          <w:color w:val="000000" w:themeColor="text1"/>
          <w:spacing w:val="0"/>
          <w:sz w:val="32"/>
          <w:szCs w:val="32"/>
          <w14:textFill>
            <w14:solidFill>
              <w14:schemeClr w14:val="tx1"/>
            </w14:solidFill>
          </w14:textFill>
        </w:rPr>
        <w:t>（四）坚持改革创新，</w:t>
      </w:r>
      <w:bookmarkStart w:id="13" w:name="OLE_LINK12"/>
      <w:r>
        <w:rPr>
          <w:rFonts w:hint="eastAsia" w:ascii="楷体_GB2312" w:hAnsi="Calibri" w:eastAsia="楷体_GB2312" w:cs="楷体_GB2312"/>
          <w:b/>
          <w:bCs/>
          <w:color w:val="000000" w:themeColor="text1"/>
          <w:spacing w:val="0"/>
          <w:sz w:val="32"/>
          <w:szCs w:val="32"/>
          <w14:textFill>
            <w14:solidFill>
              <w14:schemeClr w14:val="tx1"/>
            </w14:solidFill>
          </w14:textFill>
        </w:rPr>
        <w:t>推动财政科学管理</w:t>
      </w:r>
      <w:bookmarkEnd w:id="13"/>
      <w:r>
        <w:rPr>
          <w:rFonts w:hint="eastAsia" w:ascii="楷体_GB2312" w:hAnsi="Calibri" w:eastAsia="楷体_GB2312" w:cs="楷体_GB2312"/>
          <w:b/>
          <w:bCs/>
          <w:color w:val="000000" w:themeColor="text1"/>
          <w:spacing w:val="0"/>
          <w:sz w:val="32"/>
          <w:szCs w:val="32"/>
          <w14:textFill>
            <w14:solidFill>
              <w14:schemeClr w14:val="tx1"/>
            </w14:solidFill>
          </w14:textFill>
        </w:rPr>
        <w:t>。</w:t>
      </w:r>
      <w:r>
        <w:rPr>
          <w:rFonts w:hint="eastAsia" w:ascii="仿宋_GB2312" w:eastAsia="仿宋_GB2312"/>
          <w:spacing w:val="0"/>
          <w:sz w:val="32"/>
          <w:szCs w:val="32"/>
        </w:rPr>
        <w:t>在重点做好市上安排我县深化零基预算改革、加强地方政府债务管理、完善国有资本经营预算制度3项试点任务的基础上，同步做好加强财政资源和预算统筹等8项试点任务，探索构建“财政+金融”“财政+国资”“财政+绩效”“财政+内控”模式，推动财政、金融、资产协同发力，有效发挥财政政策资金效应，不断提升财政管理系统化、科学化、标准化和法治化水平。</w:t>
      </w:r>
      <w:r>
        <w:rPr>
          <w:rFonts w:hint="eastAsia" w:ascii="仿宋_GB2312" w:eastAsia="仿宋_GB2312"/>
          <w:b/>
          <w:bCs/>
          <w:spacing w:val="0"/>
          <w:sz w:val="32"/>
          <w:szCs w:val="32"/>
        </w:rPr>
        <w:t>一是深化零基预算改革</w:t>
      </w:r>
      <w:r>
        <w:rPr>
          <w:rFonts w:hint="eastAsia" w:ascii="仿宋_GB2312" w:eastAsia="仿宋_GB2312"/>
          <w:spacing w:val="0"/>
          <w:sz w:val="32"/>
          <w:szCs w:val="32"/>
        </w:rPr>
        <w:t>。严格落实好零基预算理念，细化支出审核标准，推动资金向重点领域倾斜；动态完善“政策制度库、项目储备库、支出标准库、绩效指标库”建设，明确入库标准与更新频率，提升资源配置精准度，大力优化调整支出结构，切实提升资金管理使用效益，更好服务保障县委、县政府重大决策部署。</w:t>
      </w:r>
      <w:r>
        <w:rPr>
          <w:rFonts w:hint="eastAsia" w:ascii="仿宋_GB2312" w:eastAsia="仿宋_GB2312"/>
          <w:b/>
          <w:bCs/>
          <w:spacing w:val="0"/>
          <w:sz w:val="32"/>
          <w:szCs w:val="32"/>
        </w:rPr>
        <w:t>二是加强地方政府债务管理。</w:t>
      </w:r>
      <w:r>
        <w:rPr>
          <w:rFonts w:hint="eastAsia" w:ascii="仿宋_GB2312" w:eastAsia="仿宋_GB2312"/>
          <w:spacing w:val="0"/>
          <w:sz w:val="32"/>
          <w:szCs w:val="32"/>
        </w:rPr>
        <w:t>加强政府投资项目财政承受能力评估、预算评审和事前绩效评估，制定地方政府专项债券管理办法，加强地方政府专项债券全生命周期管理。强化专项债券项目资产管理，对历年发行建成运营的专项债券项目开展清产核资，为专项债券最终偿付“压舱护底”。充分发挥专项债券包抓专班作用，加强专项债券项目跟踪，逐步缩减财政垫付规模，防范法定债务偿还风险。</w:t>
      </w:r>
      <w:r>
        <w:rPr>
          <w:rFonts w:hint="eastAsia" w:ascii="仿宋_GB2312" w:eastAsia="仿宋_GB2312"/>
          <w:b/>
          <w:bCs/>
          <w:spacing w:val="0"/>
          <w:sz w:val="32"/>
          <w:szCs w:val="32"/>
        </w:rPr>
        <w:t>三是完善国有资本经营预算制度。</w:t>
      </w:r>
      <w:r>
        <w:rPr>
          <w:rFonts w:hint="eastAsia" w:ascii="仿宋_GB2312" w:eastAsia="仿宋_GB2312"/>
          <w:spacing w:val="0"/>
          <w:sz w:val="32"/>
          <w:szCs w:val="32"/>
        </w:rPr>
        <w:t>严格执行预算法及其实施条例等规定，加大国有资本经营预算资金调入一般公共预算力度。聚焦关键领域和薄弱环节，突出重点，优化支出结构，进一步提升国有资本经营预算资金支出效能，保障国有资本的合理利用和有效监管。制定国有资本经营预算编制工作规程，按照国有企业-出资人单位-财政部门三级编报审核流程，提高编报精准性。</w:t>
      </w:r>
      <w:r>
        <w:rPr>
          <w:rFonts w:hint="eastAsia" w:ascii="仿宋_GB2312" w:eastAsia="仿宋_GB2312"/>
          <w:b/>
          <w:bCs/>
          <w:spacing w:val="0"/>
          <w:sz w:val="32"/>
          <w:szCs w:val="32"/>
        </w:rPr>
        <w:t>四是深入推进“财政+”模式。</w:t>
      </w:r>
      <w:r>
        <w:rPr>
          <w:rFonts w:hint="eastAsia" w:ascii="仿宋_GB2312" w:eastAsia="仿宋_GB2312"/>
          <w:spacing w:val="0"/>
          <w:sz w:val="32"/>
          <w:szCs w:val="32"/>
        </w:rPr>
        <w:t>深化“财政+国资”模式，加快推进国有资产盘活和市场化集中运营，提高资产使用效益。深化“财政+金融”模式，完善“1+N”财政金融支持实体经济发展政策体系，为实体经济发展注入动能。推行“财政+绩效”模式，构建完善分行业分领域分层次绩效指标标准，强化财政预算全流程绩效管理。推行“财政+内控”模式，完善财会监督贯通机制和内控制度建设，筑牢财政资金安全使用“防火墙”。</w:t>
      </w:r>
    </w:p>
    <w:p w14:paraId="717C5D03">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ascii="仿宋_GB2312" w:eastAsia="仿宋_GB2312"/>
          <w:spacing w:val="0"/>
          <w:sz w:val="32"/>
          <w:szCs w:val="32"/>
        </w:rPr>
      </w:pPr>
      <w:r>
        <w:rPr>
          <w:rFonts w:hint="eastAsia" w:ascii="楷体_GB2312" w:hAnsi="Calibri" w:eastAsia="楷体_GB2312" w:cs="楷体_GB2312"/>
          <w:b/>
          <w:bCs/>
          <w:color w:val="000000" w:themeColor="text1"/>
          <w:spacing w:val="0"/>
          <w:sz w:val="32"/>
          <w:szCs w:val="32"/>
          <w14:textFill>
            <w14:solidFill>
              <w14:schemeClr w14:val="tx1"/>
            </w14:solidFill>
          </w14:textFill>
        </w:rPr>
        <w:t>（五）坚持底线思维，提升财政治理效能。</w:t>
      </w:r>
      <w:r>
        <w:rPr>
          <w:rFonts w:hint="eastAsia" w:ascii="仿宋_GB2312" w:eastAsia="仿宋_GB2312"/>
          <w:b/>
          <w:bCs/>
          <w:spacing w:val="0"/>
          <w:sz w:val="32"/>
          <w:szCs w:val="32"/>
        </w:rPr>
        <w:t>一是筑牢兜实基层“三保”。</w:t>
      </w:r>
      <w:r>
        <w:rPr>
          <w:rFonts w:hint="eastAsia" w:ascii="仿宋_GB2312" w:eastAsia="仿宋_GB2312"/>
          <w:spacing w:val="0"/>
          <w:sz w:val="32"/>
          <w:szCs w:val="32"/>
        </w:rPr>
        <w:t>严格“三保”预算管理，将“三保”支出需求足额纳入预算，并按照预算资金类别确定支付先后顺序，优先保障“三保”支出按时足额兑付，在“三保”支出未全面落实到位前，一律不安排非急需非刚性支出及其他非重点支出，确因政策调整需新增“三保”支出的，通过压减非重点支出、盘活存量资金等方式补足。</w:t>
      </w:r>
      <w:r>
        <w:rPr>
          <w:rFonts w:hint="eastAsia" w:ascii="仿宋_GB2312" w:eastAsia="仿宋_GB2312"/>
          <w:b/>
          <w:bCs/>
          <w:spacing w:val="0"/>
          <w:sz w:val="32"/>
          <w:szCs w:val="32"/>
        </w:rPr>
        <w:t>二是防范化解债务风险。</w:t>
      </w:r>
      <w:r>
        <w:rPr>
          <w:rFonts w:hint="eastAsia" w:ascii="仿宋_GB2312" w:eastAsia="仿宋_GB2312"/>
          <w:spacing w:val="0"/>
          <w:sz w:val="32"/>
          <w:szCs w:val="32"/>
        </w:rPr>
        <w:t>加强政府债务风险监测预警，合理控制政府债务余额。夯实投后管理工作基础，多渠道落实还本付息资金来源，避免债务风险。持续加强对专项债券和特别国债等专项资金项目发行准备、资金使用、还本付息、资产管理等全过程穿透式、全周期封闭式监管，充分发挥政府债券资金使用效益。</w:t>
      </w:r>
      <w:r>
        <w:rPr>
          <w:rFonts w:hint="eastAsia" w:ascii="仿宋_GB2312" w:eastAsia="仿宋_GB2312"/>
          <w:b/>
          <w:bCs/>
          <w:spacing w:val="0"/>
          <w:sz w:val="32"/>
          <w:szCs w:val="32"/>
        </w:rPr>
        <w:t>三是筑牢资金安全“底线”。</w:t>
      </w:r>
      <w:bookmarkStart w:id="14" w:name="_Hlk218027539"/>
      <w:r>
        <w:rPr>
          <w:rFonts w:hint="eastAsia" w:ascii="仿宋_GB2312" w:eastAsia="仿宋_GB2312"/>
          <w:spacing w:val="0"/>
          <w:sz w:val="32"/>
          <w:szCs w:val="32"/>
        </w:rPr>
        <w:t>扎实推进群众身边不正之风和腐败问题集中整治工作，持续深化惠民惠农补贴</w:t>
      </w:r>
      <w:r>
        <w:rPr>
          <w:rFonts w:hint="eastAsia" w:ascii="仿宋_GB2312" w:eastAsia="仿宋_GB2312"/>
          <w:spacing w:val="0"/>
          <w:sz w:val="32"/>
          <w:szCs w:val="32"/>
          <w:lang w:val="en-US" w:eastAsia="zh-CN"/>
        </w:rPr>
        <w:t>发放管理</w:t>
      </w:r>
      <w:r>
        <w:rPr>
          <w:rFonts w:hint="eastAsia" w:ascii="仿宋_GB2312" w:eastAsia="仿宋_GB2312"/>
          <w:spacing w:val="0"/>
          <w:sz w:val="32"/>
          <w:szCs w:val="32"/>
        </w:rPr>
        <w:t>问题专项整治、招标投标领域突出问题系统整治工作，规范资金发放流程，强化补贴资金管理，保障资金安全。</w:t>
      </w:r>
      <w:bookmarkEnd w:id="14"/>
      <w:r>
        <w:rPr>
          <w:rFonts w:hint="eastAsia" w:ascii="仿宋_GB2312" w:eastAsia="仿宋_GB2312"/>
          <w:spacing w:val="0"/>
          <w:sz w:val="32"/>
          <w:szCs w:val="32"/>
        </w:rPr>
        <w:t>同时，针对非法集资新特点，坚持“早识别、早预警、早发现、早处置”，持续开展防范非法集资宣传教育活动，加强多部门协同排查，科学防控金融风险，维护良好金融生态。</w:t>
      </w:r>
      <w:r>
        <w:rPr>
          <w:rFonts w:hint="eastAsia" w:ascii="仿宋_GB2312" w:eastAsia="仿宋_GB2312"/>
          <w:b/>
          <w:bCs/>
          <w:spacing w:val="0"/>
          <w:sz w:val="32"/>
          <w:szCs w:val="32"/>
        </w:rPr>
        <w:t>四是推动财政监管提能增效。</w:t>
      </w:r>
      <w:r>
        <w:rPr>
          <w:rFonts w:hint="eastAsia" w:ascii="仿宋_GB2312" w:eastAsia="仿宋_GB2312"/>
          <w:spacing w:val="0"/>
          <w:sz w:val="32"/>
          <w:szCs w:val="32"/>
        </w:rPr>
        <w:t>深入推进成本预算绩效管理，进一步规范绩效目标设置，着力提高财政资源配置效率。高标准落实“五责监督”，通过开展部门整体绩效评价、项目绩效评价、纳入综合考核等方式，推动依责监督、内部监督、执业监督、自律监督见成效，推动“大审核”体系走深走实。推动“巡财联动”深化扩面，着力推进全流程多方位深层次协同，做好财会监督专项行动“后半篇”文章，提升财政监督的系统性、整体性和威慑性。围绕重点岗位、关键环节的新增廉政风险和高风险业务隐患开展常态化排查、动态化跟踪、制度化防控，持续推进清廉财政建设。</w:t>
      </w:r>
    </w:p>
    <w:p w14:paraId="4B0932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Times New Roman" w:eastAsia="仿宋_GB2312" w:cs="仿宋_GB2312"/>
          <w:color w:val="000000" w:themeColor="text1"/>
          <w:spacing w:val="0"/>
          <w:sz w:val="32"/>
          <w:szCs w:val="32"/>
          <w:u w:color="000000"/>
          <w14:textFill>
            <w14:solidFill>
              <w14:schemeClr w14:val="tx1"/>
            </w14:solidFill>
          </w14:textFill>
        </w:rPr>
      </w:pPr>
      <w:r>
        <w:rPr>
          <w:rFonts w:hint="eastAsia" w:ascii="仿宋_GB2312" w:hAnsi="Times New Roman" w:eastAsia="仿宋_GB2312" w:cs="仿宋_GB2312"/>
          <w:color w:val="000000" w:themeColor="text1"/>
          <w:spacing w:val="0"/>
          <w:sz w:val="32"/>
          <w:szCs w:val="32"/>
          <w:u w:color="000000"/>
          <w14:textFill>
            <w14:solidFill>
              <w14:schemeClr w14:val="tx1"/>
            </w14:solidFill>
          </w14:textFill>
        </w:rPr>
        <w:t>各位代表，做好2026年财政工作，意义重大、任务艰巨。我们将始终坚持以习近平新时代中国特色社会主义思想为指导，在县委的坚强领导下，主动接受县人大监督，锚定目标、坚定信心，锐意进取、真抓实干，坚决落实本次会议决议，以永不懈怠的精神状态做好财政各项工作，为奋力谱写自治县经济社会高质量发展新篇章做出新贡献！</w:t>
      </w:r>
    </w:p>
    <w:p w14:paraId="3AF0AB4A">
      <w:pPr>
        <w:spacing w:line="560" w:lineRule="exact"/>
        <w:rPr>
          <w:rFonts w:ascii="方正小标宋简体" w:eastAsia="方正小标宋简体" w:cs="仿宋_GB2312"/>
          <w:color w:val="000000" w:themeColor="text1"/>
          <w:sz w:val="44"/>
          <w:szCs w:val="44"/>
          <w14:textFill>
            <w14:solidFill>
              <w14:schemeClr w14:val="tx1"/>
            </w14:solidFill>
          </w14:textFill>
        </w:rPr>
      </w:pPr>
    </w:p>
    <w:p w14:paraId="3DE80468">
      <w:pPr>
        <w:spacing w:line="560" w:lineRule="exact"/>
        <w:rPr>
          <w:rFonts w:ascii="方正小标宋简体" w:eastAsia="方正小标宋简体" w:cs="仿宋_GB2312"/>
          <w:color w:val="000000" w:themeColor="text1"/>
          <w:sz w:val="44"/>
          <w:szCs w:val="44"/>
          <w14:textFill>
            <w14:solidFill>
              <w14:schemeClr w14:val="tx1"/>
            </w14:solidFill>
          </w14:textFill>
        </w:rPr>
      </w:pPr>
    </w:p>
    <w:p w14:paraId="19468FA6">
      <w:pPr>
        <w:spacing w:line="560" w:lineRule="exact"/>
        <w:rPr>
          <w:rFonts w:ascii="方正小标宋简体" w:eastAsia="方正小标宋简体" w:cs="仿宋_GB2312"/>
          <w:color w:val="000000" w:themeColor="text1"/>
          <w:sz w:val="44"/>
          <w:szCs w:val="44"/>
          <w14:textFill>
            <w14:solidFill>
              <w14:schemeClr w14:val="tx1"/>
            </w14:solidFill>
          </w14:textFill>
        </w:rPr>
      </w:pPr>
    </w:p>
    <w:p w14:paraId="376058D9">
      <w:pPr>
        <w:spacing w:line="560" w:lineRule="exact"/>
        <w:rPr>
          <w:rFonts w:ascii="方正小标宋简体" w:eastAsia="方正小标宋简体" w:cs="仿宋_GB2312"/>
          <w:color w:val="000000" w:themeColor="text1"/>
          <w:sz w:val="44"/>
          <w:szCs w:val="44"/>
          <w14:textFill>
            <w14:solidFill>
              <w14:schemeClr w14:val="tx1"/>
            </w14:solidFill>
          </w14:textFill>
        </w:rPr>
      </w:pPr>
    </w:p>
    <w:p w14:paraId="04A549C4">
      <w:pPr>
        <w:rPr>
          <w:rFonts w:ascii="方正小标宋简体" w:eastAsia="方正小标宋简体" w:cs="仿宋_GB2312"/>
          <w:color w:val="000000" w:themeColor="text1"/>
          <w:sz w:val="44"/>
          <w:szCs w:val="44"/>
          <w14:textFill>
            <w14:solidFill>
              <w14:schemeClr w14:val="tx1"/>
            </w14:solidFill>
          </w14:textFill>
        </w:rPr>
      </w:pPr>
      <w:r>
        <w:rPr>
          <w:rFonts w:ascii="方正小标宋简体" w:eastAsia="方正小标宋简体" w:cs="仿宋_GB2312"/>
          <w:color w:val="000000" w:themeColor="text1"/>
          <w:sz w:val="44"/>
          <w:szCs w:val="44"/>
          <w14:textFill>
            <w14:solidFill>
              <w14:schemeClr w14:val="tx1"/>
            </w14:solidFill>
          </w14:textFill>
        </w:rPr>
        <w:br w:type="page"/>
      </w:r>
    </w:p>
    <w:p w14:paraId="790F9984">
      <w:pPr>
        <w:spacing w:line="560" w:lineRule="exact"/>
        <w:rPr>
          <w:rFonts w:ascii="方正小标宋简体" w:eastAsia="方正小标宋简体" w:cs="仿宋_GB2312"/>
          <w:color w:val="000000" w:themeColor="text1"/>
          <w:sz w:val="44"/>
          <w:szCs w:val="44"/>
          <w14:textFill>
            <w14:solidFill>
              <w14:schemeClr w14:val="tx1"/>
            </w14:solidFill>
          </w14:textFill>
        </w:rPr>
      </w:pPr>
    </w:p>
    <w:p w14:paraId="08FDF169">
      <w:pPr>
        <w:keepNext w:val="0"/>
        <w:keepLines w:val="0"/>
        <w:pageBreakBefore w:val="0"/>
        <w:widowControl w:val="0"/>
        <w:kinsoku/>
        <w:wordWrap/>
        <w:overflowPunct/>
        <w:topLinePunct w:val="0"/>
        <w:autoSpaceDE/>
        <w:autoSpaceDN/>
        <w:bidi w:val="0"/>
        <w:adjustRightInd/>
        <w:snapToGrid/>
        <w:spacing w:line="560" w:lineRule="exact"/>
        <w:ind w:firstLine="2860" w:firstLineChars="650"/>
        <w:textAlignment w:val="auto"/>
        <w:rPr>
          <w:rFonts w:ascii="方正小标宋简体" w:eastAsia="方正小标宋简体" w:cs="仿宋_GB2312"/>
          <w:color w:val="000000" w:themeColor="text1"/>
          <w:sz w:val="44"/>
          <w:szCs w:val="44"/>
          <w14:textFill>
            <w14:solidFill>
              <w14:schemeClr w14:val="tx1"/>
            </w14:solidFill>
          </w14:textFill>
        </w:rPr>
      </w:pPr>
      <w:r>
        <w:rPr>
          <w:rFonts w:hint="eastAsia" w:ascii="方正小标宋简体" w:eastAsia="方正小标宋简体" w:cs="仿宋_GB2312"/>
          <w:color w:val="000000" w:themeColor="text1"/>
          <w:sz w:val="44"/>
          <w:szCs w:val="44"/>
          <w14:textFill>
            <w14:solidFill>
              <w14:schemeClr w14:val="tx1"/>
            </w14:solidFill>
          </w14:textFill>
        </w:rPr>
        <w:t>主要名词解释</w:t>
      </w:r>
    </w:p>
    <w:p w14:paraId="112304A4">
      <w:pPr>
        <w:spacing w:line="560" w:lineRule="exact"/>
        <w:rPr>
          <w:rFonts w:ascii="仿宋_GB2312" w:eastAsia="仿宋_GB2312" w:cs="仿宋_GB2312"/>
          <w:color w:val="000000" w:themeColor="text1"/>
          <w:sz w:val="32"/>
          <w:szCs w:val="32"/>
          <w14:textFill>
            <w14:solidFill>
              <w14:schemeClr w14:val="tx1"/>
            </w14:solidFill>
          </w14:textFill>
        </w:rPr>
      </w:pPr>
    </w:p>
    <w:p w14:paraId="0775C3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1.一般公共预算：</w:t>
      </w:r>
      <w:r>
        <w:rPr>
          <w:rFonts w:hint="eastAsia" w:ascii="仿宋_GB2312" w:eastAsia="仿宋_GB2312" w:cs="仿宋_GB2312"/>
          <w:color w:val="000000" w:themeColor="text1"/>
          <w:sz w:val="32"/>
          <w:szCs w:val="32"/>
          <w14:textFill>
            <w14:solidFill>
              <w14:schemeClr w14:val="tx1"/>
            </w14:solidFill>
          </w14:textFill>
        </w:rPr>
        <w:t>是对以税收为主体的财政收入，安排用于保障和改善民生、推动经济社会发展、维护国家安全、维持国家机构正常运转等方面的收支预算。一般公共预算收入，即以往所指的“地方财政收入”、“公共财政收入”，是指财政收入地方留成部分，由税收收入和非税收入两部分组成。</w:t>
      </w:r>
    </w:p>
    <w:p w14:paraId="4BDD8B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2.政府性基金预算：</w:t>
      </w:r>
      <w:r>
        <w:rPr>
          <w:rFonts w:hint="eastAsia" w:ascii="仿宋_GB2312" w:eastAsia="仿宋_GB2312" w:cs="仿宋_GB2312"/>
          <w:color w:val="000000" w:themeColor="text1"/>
          <w:sz w:val="32"/>
          <w:szCs w:val="32"/>
          <w14:textFill>
            <w14:solidFill>
              <w14:schemeClr w14:val="tx1"/>
            </w14:solidFill>
          </w14:textFill>
        </w:rPr>
        <w:t>政府性基金预算是对依照法律、行政法规的规定在一定期限内向特定对象征收、收取或者以其他方式筹集的资金，专项用于特定公共事业发展的收支预算。</w:t>
      </w:r>
    </w:p>
    <w:p w14:paraId="0D2AE868">
      <w:pPr>
        <w:keepNext w:val="0"/>
        <w:keepLines w:val="0"/>
        <w:pageBreakBefore w:val="0"/>
        <w:widowControl w:val="0"/>
        <w:kinsoku/>
        <w:wordWrap/>
        <w:overflowPunct/>
        <w:topLinePunct w:val="0"/>
        <w:autoSpaceDE/>
        <w:autoSpaceDN/>
        <w:bidi w:val="0"/>
        <w:adjustRightInd/>
        <w:snapToGrid/>
        <w:spacing w:line="560" w:lineRule="exact"/>
        <w:ind w:firstLine="707" w:firstLineChars="221"/>
        <w:jc w:val="both"/>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3.国有资本经营预算：</w:t>
      </w:r>
      <w:r>
        <w:rPr>
          <w:rFonts w:hint="eastAsia" w:ascii="仿宋_GB2312" w:eastAsia="仿宋_GB2312" w:cs="仿宋_GB2312"/>
          <w:color w:val="000000" w:themeColor="text1"/>
          <w:sz w:val="32"/>
          <w:szCs w:val="32"/>
          <w14:textFill>
            <w14:solidFill>
              <w14:schemeClr w14:val="tx1"/>
            </w14:solidFill>
          </w14:textFill>
        </w:rPr>
        <w:t>是对国有资本收益作出支出安排的收支预算。</w:t>
      </w:r>
    </w:p>
    <w:p w14:paraId="422289FD">
      <w:pPr>
        <w:keepNext w:val="0"/>
        <w:keepLines w:val="0"/>
        <w:pageBreakBefore w:val="0"/>
        <w:widowControl w:val="0"/>
        <w:kinsoku/>
        <w:wordWrap/>
        <w:overflowPunct/>
        <w:topLinePunct w:val="0"/>
        <w:autoSpaceDE/>
        <w:autoSpaceDN/>
        <w:bidi w:val="0"/>
        <w:adjustRightInd/>
        <w:snapToGrid/>
        <w:spacing w:line="560" w:lineRule="exact"/>
        <w:ind w:firstLine="707" w:firstLineChars="221"/>
        <w:jc w:val="both"/>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4.社会保险基金预算：</w:t>
      </w:r>
      <w:r>
        <w:rPr>
          <w:rFonts w:hint="eastAsia" w:ascii="仿宋_GB2312" w:eastAsia="仿宋_GB2312" w:cs="仿宋_GB2312"/>
          <w:color w:val="000000" w:themeColor="text1"/>
          <w:sz w:val="32"/>
          <w:szCs w:val="32"/>
          <w14:textFill>
            <w14:solidFill>
              <w14:schemeClr w14:val="tx1"/>
            </w14:solidFill>
          </w14:textFill>
        </w:rPr>
        <w:t>是对社会保险缴款、一般公共预算安排和其他方式筹集的资金，专项用于社会保险的收支预算。</w:t>
      </w:r>
    </w:p>
    <w:p w14:paraId="42148F31">
      <w:pPr>
        <w:keepNext w:val="0"/>
        <w:keepLines w:val="0"/>
        <w:pageBreakBefore w:val="0"/>
        <w:widowControl w:val="0"/>
        <w:kinsoku/>
        <w:wordWrap/>
        <w:overflowPunct/>
        <w:topLinePunct w:val="0"/>
        <w:autoSpaceDE/>
        <w:autoSpaceDN/>
        <w:bidi w:val="0"/>
        <w:adjustRightInd/>
        <w:snapToGrid/>
        <w:spacing w:line="560" w:lineRule="exact"/>
        <w:ind w:firstLine="707" w:firstLineChars="221"/>
        <w:jc w:val="both"/>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5.政府债务：</w:t>
      </w:r>
      <w:r>
        <w:rPr>
          <w:rFonts w:hint="eastAsia" w:ascii="仿宋_GB2312" w:eastAsia="仿宋_GB2312" w:cs="仿宋_GB2312"/>
          <w:color w:val="000000" w:themeColor="text1"/>
          <w:sz w:val="32"/>
          <w:szCs w:val="32"/>
          <w14:textFill>
            <w14:solidFill>
              <w14:schemeClr w14:val="tx1"/>
            </w14:solidFill>
          </w14:textFill>
        </w:rPr>
        <w:t>是指由各级政府承担直接偿还责任的债务。新预算法实施后，地方政府举借债务主要通过发行地方政府债券方式筹措。</w:t>
      </w:r>
    </w:p>
    <w:p w14:paraId="29C6344D">
      <w:pPr>
        <w:keepNext w:val="0"/>
        <w:keepLines w:val="0"/>
        <w:pageBreakBefore w:val="0"/>
        <w:widowControl w:val="0"/>
        <w:kinsoku/>
        <w:wordWrap/>
        <w:overflowPunct/>
        <w:topLinePunct w:val="0"/>
        <w:autoSpaceDE/>
        <w:autoSpaceDN/>
        <w:bidi w:val="0"/>
        <w:adjustRightInd/>
        <w:snapToGrid/>
        <w:spacing w:line="560" w:lineRule="exact"/>
        <w:ind w:firstLine="707" w:firstLineChars="221"/>
        <w:jc w:val="both"/>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6.政府债务率：</w:t>
      </w:r>
      <w:r>
        <w:rPr>
          <w:rFonts w:hint="eastAsia" w:ascii="仿宋_GB2312" w:eastAsia="仿宋_GB2312" w:cs="仿宋_GB2312"/>
          <w:color w:val="000000" w:themeColor="text1"/>
          <w:sz w:val="32"/>
          <w:szCs w:val="32"/>
          <w14:textFill>
            <w14:solidFill>
              <w14:schemeClr w14:val="tx1"/>
            </w14:solidFill>
          </w14:textFill>
        </w:rPr>
        <w:t>是指限额内政府债务余额占当年政府综合财力的比重，是衡量政府债务风险程度的重要指标。</w:t>
      </w:r>
    </w:p>
    <w:p w14:paraId="33D13E39">
      <w:pPr>
        <w:keepNext w:val="0"/>
        <w:keepLines w:val="0"/>
        <w:pageBreakBefore w:val="0"/>
        <w:widowControl w:val="0"/>
        <w:kinsoku/>
        <w:wordWrap/>
        <w:overflowPunct/>
        <w:topLinePunct w:val="0"/>
        <w:autoSpaceDE/>
        <w:autoSpaceDN/>
        <w:bidi w:val="0"/>
        <w:adjustRightInd/>
        <w:snapToGrid/>
        <w:spacing w:line="560" w:lineRule="exact"/>
        <w:ind w:firstLine="707" w:firstLineChars="221"/>
        <w:jc w:val="both"/>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7.地方政府债务限额：</w:t>
      </w:r>
      <w:r>
        <w:rPr>
          <w:rFonts w:hint="eastAsia" w:ascii="仿宋_GB2312" w:eastAsia="仿宋_GB2312" w:cs="仿宋_GB2312"/>
          <w:color w:val="000000" w:themeColor="text1"/>
          <w:sz w:val="32"/>
          <w:szCs w:val="32"/>
          <w14:textFill>
            <w14:solidFill>
              <w14:schemeClr w14:val="tx1"/>
            </w14:solidFill>
          </w14:textFill>
        </w:rPr>
        <w:t>是指地方政府举借债务不得突破的规模，是地方政府债务的“天花板”。年度地方政府债务限额等于上年地方政府债务限额加上当年新增政府债务限额，具体分为一般债务限额和专项债务限额。</w:t>
      </w:r>
    </w:p>
    <w:p w14:paraId="7D4CD8C9">
      <w:pPr>
        <w:keepNext w:val="0"/>
        <w:keepLines w:val="0"/>
        <w:pageBreakBefore w:val="0"/>
        <w:widowControl w:val="0"/>
        <w:kinsoku/>
        <w:wordWrap/>
        <w:overflowPunct/>
        <w:topLinePunct w:val="0"/>
        <w:autoSpaceDE/>
        <w:autoSpaceDN/>
        <w:bidi w:val="0"/>
        <w:adjustRightInd/>
        <w:snapToGrid/>
        <w:spacing w:line="560" w:lineRule="exact"/>
        <w:ind w:firstLine="707" w:firstLineChars="221"/>
        <w:jc w:val="both"/>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8.一般债务：</w:t>
      </w:r>
      <w:r>
        <w:rPr>
          <w:rFonts w:hint="eastAsia" w:ascii="仿宋_GB2312" w:eastAsia="仿宋_GB2312" w:cs="仿宋_GB2312"/>
          <w:color w:val="000000" w:themeColor="text1"/>
          <w:sz w:val="32"/>
          <w:szCs w:val="32"/>
          <w14:textFill>
            <w14:solidFill>
              <w14:schemeClr w14:val="tx1"/>
            </w14:solidFill>
          </w14:textFill>
        </w:rPr>
        <w:t>是指列入一般公共预算用于公益性事业发展的一般债券、地方政府负有偿还责任的外国政府和国际经济组织贷款转贷债务。</w:t>
      </w:r>
    </w:p>
    <w:p w14:paraId="08258D2F">
      <w:pPr>
        <w:keepNext w:val="0"/>
        <w:keepLines w:val="0"/>
        <w:pageBreakBefore w:val="0"/>
        <w:widowControl w:val="0"/>
        <w:kinsoku/>
        <w:wordWrap/>
        <w:overflowPunct/>
        <w:topLinePunct w:val="0"/>
        <w:autoSpaceDE/>
        <w:autoSpaceDN/>
        <w:bidi w:val="0"/>
        <w:adjustRightInd/>
        <w:snapToGrid/>
        <w:spacing w:line="560" w:lineRule="exact"/>
        <w:ind w:firstLine="707" w:firstLineChars="221"/>
        <w:jc w:val="both"/>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9.专项债务：</w:t>
      </w:r>
      <w:r>
        <w:rPr>
          <w:rFonts w:hint="eastAsia" w:ascii="仿宋_GB2312" w:eastAsia="仿宋_GB2312" w:cs="仿宋_GB2312"/>
          <w:color w:val="000000" w:themeColor="text1"/>
          <w:sz w:val="32"/>
          <w:szCs w:val="32"/>
          <w14:textFill>
            <w14:solidFill>
              <w14:schemeClr w14:val="tx1"/>
            </w14:solidFill>
          </w14:textFill>
        </w:rPr>
        <w:t>是指列入政府性基金预算用于有收益的公益性事业发展的专项债券。</w:t>
      </w:r>
    </w:p>
    <w:p w14:paraId="23A608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10.再融资债券：</w:t>
      </w:r>
      <w:r>
        <w:rPr>
          <w:rFonts w:hint="eastAsia" w:ascii="仿宋_GB2312" w:eastAsia="仿宋_GB2312" w:cs="仿宋_GB2312"/>
          <w:color w:val="000000" w:themeColor="text1"/>
          <w:sz w:val="32"/>
          <w:szCs w:val="32"/>
          <w14:textFill>
            <w14:solidFill>
              <w14:schemeClr w14:val="tx1"/>
            </w14:solidFill>
          </w14:textFill>
        </w:rPr>
        <w:t>是指为偿还到期政府债务本金发行的地方政府债券。</w:t>
      </w:r>
    </w:p>
    <w:p w14:paraId="33ABD027">
      <w:pPr>
        <w:keepNext w:val="0"/>
        <w:keepLines w:val="0"/>
        <w:pageBreakBefore w:val="0"/>
        <w:widowControl w:val="0"/>
        <w:kinsoku/>
        <w:wordWrap/>
        <w:overflowPunct/>
        <w:topLinePunct w:val="0"/>
        <w:autoSpaceDE/>
        <w:autoSpaceDN/>
        <w:bidi w:val="0"/>
        <w:adjustRightInd/>
        <w:snapToGrid/>
        <w:spacing w:line="560" w:lineRule="exact"/>
        <w:ind w:firstLine="707" w:firstLineChars="221"/>
        <w:jc w:val="both"/>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11.民生支出：</w:t>
      </w:r>
      <w:r>
        <w:rPr>
          <w:rFonts w:hint="eastAsia" w:ascii="仿宋_GB2312" w:eastAsia="仿宋_GB2312" w:cs="仿宋_GB2312"/>
          <w:color w:val="000000" w:themeColor="text1"/>
          <w:sz w:val="32"/>
          <w:szCs w:val="32"/>
          <w14:textFill>
            <w14:solidFill>
              <w14:schemeClr w14:val="tx1"/>
            </w14:solidFill>
          </w14:textFill>
        </w:rPr>
        <w:t>指与人民群众生活直接相关的教育、卫生健康、文体传媒、农林水利、社保就业等方面的支出，以及与人民群众生活密切相关的公共基础设施建设等方面支出。</w:t>
      </w:r>
    </w:p>
    <w:p w14:paraId="615D266F">
      <w:pPr>
        <w:keepNext w:val="0"/>
        <w:keepLines w:val="0"/>
        <w:pageBreakBefore w:val="0"/>
        <w:widowControl w:val="0"/>
        <w:kinsoku/>
        <w:wordWrap/>
        <w:overflowPunct/>
        <w:topLinePunct w:val="0"/>
        <w:autoSpaceDE/>
        <w:autoSpaceDN/>
        <w:bidi w:val="0"/>
        <w:adjustRightInd/>
        <w:snapToGrid/>
        <w:spacing w:line="560" w:lineRule="exact"/>
        <w:ind w:firstLine="707" w:firstLineChars="221"/>
        <w:jc w:val="both"/>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12.三保：</w:t>
      </w:r>
      <w:r>
        <w:rPr>
          <w:rFonts w:hint="eastAsia" w:ascii="仿宋_GB2312" w:eastAsia="仿宋_GB2312" w:cs="仿宋_GB2312"/>
          <w:color w:val="000000" w:themeColor="text1"/>
          <w:sz w:val="32"/>
          <w:szCs w:val="32"/>
          <w14:textFill>
            <w14:solidFill>
              <w14:schemeClr w14:val="tx1"/>
            </w14:solidFill>
          </w14:textFill>
        </w:rPr>
        <w:t>是指基层“保基本民生、保工资、保运转”，是财政资金优先保障的领域，也是政府必须坚守的底线。</w:t>
      </w:r>
    </w:p>
    <w:p w14:paraId="4D9847FD">
      <w:pPr>
        <w:keepNext w:val="0"/>
        <w:keepLines w:val="0"/>
        <w:pageBreakBefore w:val="0"/>
        <w:widowControl w:val="0"/>
        <w:kinsoku/>
        <w:wordWrap/>
        <w:overflowPunct/>
        <w:topLinePunct w:val="0"/>
        <w:autoSpaceDE/>
        <w:autoSpaceDN/>
        <w:bidi w:val="0"/>
        <w:adjustRightInd/>
        <w:snapToGrid/>
        <w:spacing w:line="560" w:lineRule="exact"/>
        <w:ind w:firstLine="707" w:firstLineChars="221"/>
        <w:jc w:val="both"/>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13.存量资金：</w:t>
      </w:r>
      <w:r>
        <w:rPr>
          <w:rFonts w:hint="eastAsia" w:ascii="仿宋_GB2312" w:eastAsia="仿宋_GB2312" w:cs="仿宋_GB2312"/>
          <w:color w:val="000000" w:themeColor="text1"/>
          <w:sz w:val="32"/>
          <w:szCs w:val="32"/>
          <w14:textFill>
            <w14:solidFill>
              <w14:schemeClr w14:val="tx1"/>
            </w14:solidFill>
          </w14:textFill>
        </w:rPr>
        <w:t>是指收入已经发生、尚未安排预算，或者预算已经安排、尚未形成实际支出的财政资金，包括一般公共预算、政府性基金、国有资本经营预算等各类结转结余资金以及预算稳定调节基金、其他财政专户资金等。</w:t>
      </w:r>
    </w:p>
    <w:p w14:paraId="660EA2AE">
      <w:pPr>
        <w:keepNext w:val="0"/>
        <w:keepLines w:val="0"/>
        <w:pageBreakBefore w:val="0"/>
        <w:widowControl w:val="0"/>
        <w:kinsoku/>
        <w:wordWrap/>
        <w:overflowPunct/>
        <w:topLinePunct w:val="0"/>
        <w:autoSpaceDE/>
        <w:autoSpaceDN/>
        <w:bidi w:val="0"/>
        <w:adjustRightInd/>
        <w:snapToGrid/>
        <w:spacing w:line="560" w:lineRule="exact"/>
        <w:ind w:firstLine="707" w:firstLineChars="221"/>
        <w:jc w:val="both"/>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14.预算绩效管理：</w:t>
      </w:r>
      <w:r>
        <w:rPr>
          <w:rFonts w:hint="eastAsia" w:ascii="仿宋_GB2312" w:eastAsia="仿宋_GB2312" w:cs="仿宋_GB2312"/>
          <w:color w:val="000000" w:themeColor="text1"/>
          <w:sz w:val="32"/>
          <w:szCs w:val="32"/>
          <w14:textFill>
            <w14:solidFill>
              <w14:schemeClr w14:val="tx1"/>
            </w14:solidFill>
          </w14:textFill>
        </w:rPr>
        <w:t>是指以预算为对象开展的绩效管理，是将绩效管理理念和绩效管理方法贯穿于预算编制、执行、监督的全过程的一种管理模式，通过促使预算部门和资金使用单位在预算额度内更多更好提供符合需求的公共产品和服务(数量、质量)，以优化预算资源配置，提升预算支出绩效。</w:t>
      </w:r>
    </w:p>
    <w:sectPr>
      <w:footerReference r:id="rId5" w:type="default"/>
      <w:footerReference r:id="rId6" w:type="even"/>
      <w:type w:val="oddPage"/>
      <w:pgSz w:w="11905" w:h="16838"/>
      <w:pgMar w:top="1587" w:right="1531" w:bottom="1587" w:left="1531" w:header="851" w:footer="1417" w:gutter="0"/>
      <w:pgNumType w:fmt="numberInDash" w:start="1"/>
      <w:cols w:space="0" w:num="1"/>
      <w:rtlGutter w:val="0"/>
      <w:docGrid w:type="linesAndChar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1E502A-AA4B-4891-98DB-810620F278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0872920-EEEB-4522-93B4-5C3A8B078525}"/>
  </w:font>
  <w:font w:name="方正小标宋简体">
    <w:panose1 w:val="03000509000000000000"/>
    <w:charset w:val="86"/>
    <w:family w:val="script"/>
    <w:pitch w:val="default"/>
    <w:sig w:usb0="00000001" w:usb1="080E0000" w:usb2="00000000" w:usb3="00000000" w:csb0="00040000" w:csb1="00000000"/>
    <w:embedRegular r:id="rId3" w:fontKey="{50FB12BD-DF56-4BD9-A5A6-3833E29BA10E}"/>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4" w:fontKey="{5BE2C465-908F-4271-A393-3A8F9F2FD314}"/>
  </w:font>
  <w:font w:name="华文中宋">
    <w:panose1 w:val="02010600040101010101"/>
    <w:charset w:val="86"/>
    <w:family w:val="auto"/>
    <w:pitch w:val="default"/>
    <w:sig w:usb0="00000287" w:usb1="080F0000" w:usb2="00000000" w:usb3="00000000" w:csb0="0004009F" w:csb1="DFD70000"/>
    <w:embedRegular r:id="rId5" w:fontKey="{446F3429-2874-4D9F-9A2E-C0435026D061}"/>
  </w:font>
  <w:font w:name="楷体_GB2312">
    <w:panose1 w:val="02010609030101010101"/>
    <w:charset w:val="86"/>
    <w:family w:val="modern"/>
    <w:pitch w:val="default"/>
    <w:sig w:usb0="00000001" w:usb1="080E0000" w:usb2="00000000" w:usb3="00000000" w:csb0="00040000" w:csb1="00000000"/>
    <w:embedRegular r:id="rId6" w:fontKey="{C3AB27E1-39FA-4F7C-BFA8-06162F51EE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C043F">
    <w:pPr>
      <w:pStyle w:val="9"/>
      <w:jc w:val="right"/>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宋体"/>
                              <w:sz w:val="28"/>
                              <w:szCs w:val="28"/>
                            </w:rPr>
                            <w:id w:val="-1"/>
                          </w:sdtPr>
                          <w:sdtEndPr>
                            <w:rPr>
                              <w:rFonts w:ascii="宋体"/>
                              <w:sz w:val="28"/>
                              <w:szCs w:val="28"/>
                            </w:rPr>
                          </w:sdtEndPr>
                          <w:sdtContent>
                            <w:p w14:paraId="27C5CE0E">
                              <w:pPr>
                                <w:pStyle w:val="9"/>
                                <w:jc w:val="right"/>
                                <w:rPr>
                                  <w:rFonts w:ascii="宋体"/>
                                  <w:sz w:val="28"/>
                                  <w:szCs w:val="28"/>
                                </w:rPr>
                              </w:pPr>
                            </w:p>
                          </w:sdtContent>
                        </w:sdt>
                        <w:p w14:paraId="6A7EAB1A">
                          <w:pPr>
                            <w:rPr>
                              <w:rFonts w:ascii="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rPr>
                        <w:rFonts w:ascii="宋体"/>
                        <w:sz w:val="28"/>
                        <w:szCs w:val="28"/>
                      </w:rPr>
                      <w:id w:val="-1"/>
                    </w:sdtPr>
                    <w:sdtEndPr>
                      <w:rPr>
                        <w:rFonts w:ascii="宋体"/>
                        <w:sz w:val="28"/>
                        <w:szCs w:val="28"/>
                      </w:rPr>
                    </w:sdtEndPr>
                    <w:sdtContent>
                      <w:p w14:paraId="27C5CE0E">
                        <w:pPr>
                          <w:pStyle w:val="9"/>
                          <w:jc w:val="right"/>
                          <w:rPr>
                            <w:rFonts w:ascii="宋体"/>
                            <w:sz w:val="28"/>
                            <w:szCs w:val="28"/>
                          </w:rPr>
                        </w:pPr>
                      </w:p>
                    </w:sdtContent>
                  </w:sdt>
                  <w:p w14:paraId="6A7EAB1A">
                    <w:pPr>
                      <w:rPr>
                        <w:rFonts w:ascii="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4D50B">
    <w:pPr>
      <w:pStyle w:val="9"/>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宋体"/>
                              <w:sz w:val="28"/>
                              <w:szCs w:val="28"/>
                            </w:rPr>
                            <w:id w:val="700086935"/>
                          </w:sdtPr>
                          <w:sdtEndPr>
                            <w:rPr>
                              <w:rFonts w:ascii="宋体"/>
                              <w:sz w:val="28"/>
                              <w:szCs w:val="28"/>
                            </w:rPr>
                          </w:sdtEndPr>
                          <w:sdtContent>
                            <w:p w14:paraId="2611A779">
                              <w:pPr>
                                <w:pStyle w:val="9"/>
                                <w:rPr>
                                  <w:rFonts w:ascii="宋体"/>
                                  <w:sz w:val="28"/>
                                  <w:szCs w:val="28"/>
                                </w:rPr>
                              </w:pPr>
                            </w:p>
                          </w:sdtContent>
                        </w:sdt>
                        <w:p w14:paraId="0E529F88">
                          <w:pPr>
                            <w:rPr>
                              <w:rFonts w:ascii="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ascii="宋体"/>
                        <w:sz w:val="28"/>
                        <w:szCs w:val="28"/>
                      </w:rPr>
                      <w:id w:val="700086935"/>
                    </w:sdtPr>
                    <w:sdtEndPr>
                      <w:rPr>
                        <w:rFonts w:ascii="宋体"/>
                        <w:sz w:val="28"/>
                        <w:szCs w:val="28"/>
                      </w:rPr>
                    </w:sdtEndPr>
                    <w:sdtContent>
                      <w:p w14:paraId="2611A779">
                        <w:pPr>
                          <w:pStyle w:val="9"/>
                          <w:rPr>
                            <w:rFonts w:ascii="宋体"/>
                            <w:sz w:val="28"/>
                            <w:szCs w:val="28"/>
                          </w:rPr>
                        </w:pPr>
                      </w:p>
                    </w:sdtContent>
                  </w:sdt>
                  <w:p w14:paraId="0E529F88">
                    <w:pPr>
                      <w:rPr>
                        <w:rFonts w:ascii="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B3F93">
    <w:pPr>
      <w:pStyle w:val="9"/>
      <w:jc w:val="right"/>
      <w:rPr>
        <w:rFonts w:cs="Times New Roman"/>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宋体"/>
                              <w:sz w:val="28"/>
                              <w:szCs w:val="28"/>
                            </w:rPr>
                            <w:id w:val="147478844"/>
                          </w:sdtPr>
                          <w:sdtEndPr>
                            <w:rPr>
                              <w:rFonts w:ascii="宋体"/>
                              <w:sz w:val="28"/>
                              <w:szCs w:val="28"/>
                            </w:rPr>
                          </w:sdtEndPr>
                          <w:sdtContent>
                            <w:p w14:paraId="3F63FFA7">
                              <w:pPr>
                                <w:pStyle w:val="9"/>
                                <w:jc w:val="right"/>
                                <w:rPr>
                                  <w:rFonts w:ascii="宋体"/>
                                  <w:sz w:val="28"/>
                                  <w:szCs w:val="28"/>
                                </w:rPr>
                              </w:pP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w:t>
                              </w:r>
                              <w:r>
                                <w:rPr>
                                  <w:rFonts w:ascii="宋体"/>
                                  <w:sz w:val="28"/>
                                  <w:szCs w:val="28"/>
                                </w:rPr>
                                <w:t xml:space="preserve"> 17 -</w:t>
                              </w:r>
                              <w:r>
                                <w:rPr>
                                  <w:rFonts w:ascii="宋体"/>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rPr>
                        <w:rFonts w:ascii="宋体"/>
                        <w:sz w:val="28"/>
                        <w:szCs w:val="28"/>
                      </w:rPr>
                      <w:id w:val="147478844"/>
                    </w:sdtPr>
                    <w:sdtEndPr>
                      <w:rPr>
                        <w:rFonts w:ascii="宋体"/>
                        <w:sz w:val="28"/>
                        <w:szCs w:val="28"/>
                      </w:rPr>
                    </w:sdtEndPr>
                    <w:sdtContent>
                      <w:p w14:paraId="3F63FFA7">
                        <w:pPr>
                          <w:pStyle w:val="9"/>
                          <w:jc w:val="right"/>
                          <w:rPr>
                            <w:rFonts w:ascii="宋体"/>
                            <w:sz w:val="28"/>
                            <w:szCs w:val="28"/>
                          </w:rPr>
                        </w:pP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w:t>
                        </w:r>
                        <w:r>
                          <w:rPr>
                            <w:rFonts w:ascii="宋体"/>
                            <w:sz w:val="28"/>
                            <w:szCs w:val="28"/>
                          </w:rPr>
                          <w:t xml:space="preserve"> 17 -</w:t>
                        </w:r>
                        <w:r>
                          <w:rPr>
                            <w:rFonts w:ascii="宋体"/>
                            <w:sz w:val="28"/>
                            <w:szCs w:val="28"/>
                          </w:rPr>
                          <w:fldChar w:fldCharType="end"/>
                        </w:r>
                      </w:p>
                    </w:sdtContent>
                  </w:sdt>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50A5">
    <w:pPr>
      <w:pStyle w:val="9"/>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宋体"/>
                              <w:sz w:val="28"/>
                              <w:szCs w:val="28"/>
                            </w:rPr>
                            <w:id w:val="147460413"/>
                          </w:sdtPr>
                          <w:sdtEndPr>
                            <w:rPr>
                              <w:rFonts w:ascii="宋体"/>
                              <w:sz w:val="28"/>
                              <w:szCs w:val="28"/>
                            </w:rPr>
                          </w:sdtEndPr>
                          <w:sdtContent>
                            <w:p w14:paraId="6F78F473">
                              <w:pPr>
                                <w:pStyle w:val="9"/>
                                <w:rPr>
                                  <w:rFonts w:ascii="宋体"/>
                                  <w:sz w:val="28"/>
                                  <w:szCs w:val="28"/>
                                </w:rPr>
                              </w:pP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w:t>
                              </w:r>
                              <w:r>
                                <w:rPr>
                                  <w:rFonts w:ascii="宋体"/>
                                  <w:sz w:val="28"/>
                                  <w:szCs w:val="28"/>
                                </w:rPr>
                                <w:t xml:space="preserve"> 18 -</w:t>
                              </w:r>
                              <w:r>
                                <w:rPr>
                                  <w:rFonts w:ascii="宋体"/>
                                  <w:sz w:val="28"/>
                                  <w:szCs w:val="28"/>
                                </w:rPr>
                                <w:fldChar w:fldCharType="end"/>
                              </w:r>
                            </w:p>
                          </w:sdtContent>
                        </w:sdt>
                        <w:p w14:paraId="0E46D618">
                          <w:pPr>
                            <w:rPr>
                              <w:rFonts w:ascii="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rPr>
                        <w:rFonts w:ascii="宋体"/>
                        <w:sz w:val="28"/>
                        <w:szCs w:val="28"/>
                      </w:rPr>
                      <w:id w:val="147460413"/>
                    </w:sdtPr>
                    <w:sdtEndPr>
                      <w:rPr>
                        <w:rFonts w:ascii="宋体"/>
                        <w:sz w:val="28"/>
                        <w:szCs w:val="28"/>
                      </w:rPr>
                    </w:sdtEndPr>
                    <w:sdtContent>
                      <w:p w14:paraId="6F78F473">
                        <w:pPr>
                          <w:pStyle w:val="9"/>
                          <w:rPr>
                            <w:rFonts w:ascii="宋体"/>
                            <w:sz w:val="28"/>
                            <w:szCs w:val="28"/>
                          </w:rPr>
                        </w:pP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w:t>
                        </w:r>
                        <w:r>
                          <w:rPr>
                            <w:rFonts w:ascii="宋体"/>
                            <w:sz w:val="28"/>
                            <w:szCs w:val="28"/>
                          </w:rPr>
                          <w:t xml:space="preserve"> 18 -</w:t>
                        </w:r>
                        <w:r>
                          <w:rPr>
                            <w:rFonts w:ascii="宋体"/>
                            <w:sz w:val="28"/>
                            <w:szCs w:val="28"/>
                          </w:rPr>
                          <w:fldChar w:fldCharType="end"/>
                        </w:r>
                      </w:p>
                    </w:sdtContent>
                  </w:sdt>
                  <w:p w14:paraId="0E46D618">
                    <w:pPr>
                      <w:rPr>
                        <w:rFonts w:ascii="宋体"/>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2562C7"/>
    <w:multiLevelType w:val="singleLevel"/>
    <w:tmpl w:val="792562C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mirrorMargins w:val="1"/>
  <w:bordersDoNotSurroundHeader w:val="1"/>
  <w:bordersDoNotSurroundFooter w:val="1"/>
  <w:documentProtection w:enforcement="0"/>
  <w:defaultTabStop w:val="420"/>
  <w:evenAndOddHeaders w:val="1"/>
  <w:drawingGridHorizontalSpacing w:val="105"/>
  <w:drawingGridVerticalSpacing w:val="159"/>
  <w:displayHorizontalDrawingGridEvery w:val="2"/>
  <w:displayVerticalDrawingGridEvery w:val="2"/>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kNGYwMzE1M2I4YzEyY2EyNzE4NjhiMTI0MDIzYzEifQ=="/>
  </w:docVars>
  <w:rsids>
    <w:rsidRoot w:val="00A85043"/>
    <w:rsid w:val="00022974"/>
    <w:rsid w:val="00035DDD"/>
    <w:rsid w:val="00052DA1"/>
    <w:rsid w:val="00057B02"/>
    <w:rsid w:val="00064ADF"/>
    <w:rsid w:val="00084F37"/>
    <w:rsid w:val="000A1016"/>
    <w:rsid w:val="000A6D9F"/>
    <w:rsid w:val="000B39C4"/>
    <w:rsid w:val="000C1C64"/>
    <w:rsid w:val="000F354A"/>
    <w:rsid w:val="001072B5"/>
    <w:rsid w:val="001140E3"/>
    <w:rsid w:val="00132501"/>
    <w:rsid w:val="00153008"/>
    <w:rsid w:val="00156936"/>
    <w:rsid w:val="0016665A"/>
    <w:rsid w:val="001B6920"/>
    <w:rsid w:val="001C3717"/>
    <w:rsid w:val="001C7258"/>
    <w:rsid w:val="001D6655"/>
    <w:rsid w:val="002517AC"/>
    <w:rsid w:val="00255F25"/>
    <w:rsid w:val="002567CF"/>
    <w:rsid w:val="0027442B"/>
    <w:rsid w:val="002802B6"/>
    <w:rsid w:val="002951F3"/>
    <w:rsid w:val="002A0211"/>
    <w:rsid w:val="002A67EC"/>
    <w:rsid w:val="002C7B4F"/>
    <w:rsid w:val="002E026A"/>
    <w:rsid w:val="002F123C"/>
    <w:rsid w:val="002F4D17"/>
    <w:rsid w:val="00312811"/>
    <w:rsid w:val="003257AA"/>
    <w:rsid w:val="00344199"/>
    <w:rsid w:val="00345D8C"/>
    <w:rsid w:val="0038054E"/>
    <w:rsid w:val="00384CCE"/>
    <w:rsid w:val="003A5BA9"/>
    <w:rsid w:val="003C1D19"/>
    <w:rsid w:val="003D5E06"/>
    <w:rsid w:val="003F26BC"/>
    <w:rsid w:val="0040038F"/>
    <w:rsid w:val="0043738D"/>
    <w:rsid w:val="00473EC4"/>
    <w:rsid w:val="004A0499"/>
    <w:rsid w:val="004A2086"/>
    <w:rsid w:val="004A28DD"/>
    <w:rsid w:val="004E6A07"/>
    <w:rsid w:val="00501B65"/>
    <w:rsid w:val="005065F9"/>
    <w:rsid w:val="00513597"/>
    <w:rsid w:val="0052477D"/>
    <w:rsid w:val="00530B6E"/>
    <w:rsid w:val="00573DD4"/>
    <w:rsid w:val="0058038C"/>
    <w:rsid w:val="005823D0"/>
    <w:rsid w:val="005907E6"/>
    <w:rsid w:val="00593431"/>
    <w:rsid w:val="005979D5"/>
    <w:rsid w:val="005A0A3B"/>
    <w:rsid w:val="005A51DE"/>
    <w:rsid w:val="005A753E"/>
    <w:rsid w:val="005C2AAA"/>
    <w:rsid w:val="005D1193"/>
    <w:rsid w:val="006033B3"/>
    <w:rsid w:val="00606792"/>
    <w:rsid w:val="00607F06"/>
    <w:rsid w:val="0062653C"/>
    <w:rsid w:val="006317F4"/>
    <w:rsid w:val="00655B45"/>
    <w:rsid w:val="00664472"/>
    <w:rsid w:val="00665632"/>
    <w:rsid w:val="00696D99"/>
    <w:rsid w:val="006C095C"/>
    <w:rsid w:val="006F12C3"/>
    <w:rsid w:val="006F6431"/>
    <w:rsid w:val="00751A60"/>
    <w:rsid w:val="00752F5E"/>
    <w:rsid w:val="00757672"/>
    <w:rsid w:val="00781338"/>
    <w:rsid w:val="007870F6"/>
    <w:rsid w:val="00790A38"/>
    <w:rsid w:val="007B0629"/>
    <w:rsid w:val="007B0EC9"/>
    <w:rsid w:val="007B59E9"/>
    <w:rsid w:val="007D0F20"/>
    <w:rsid w:val="007D780C"/>
    <w:rsid w:val="007E5879"/>
    <w:rsid w:val="007F13AB"/>
    <w:rsid w:val="007F6E19"/>
    <w:rsid w:val="00806460"/>
    <w:rsid w:val="008155DD"/>
    <w:rsid w:val="0081766C"/>
    <w:rsid w:val="0082439B"/>
    <w:rsid w:val="008256D1"/>
    <w:rsid w:val="00835307"/>
    <w:rsid w:val="008576DD"/>
    <w:rsid w:val="00864ECA"/>
    <w:rsid w:val="00865018"/>
    <w:rsid w:val="00890685"/>
    <w:rsid w:val="00896625"/>
    <w:rsid w:val="008A1C62"/>
    <w:rsid w:val="008B6A8B"/>
    <w:rsid w:val="008C1878"/>
    <w:rsid w:val="008D05AC"/>
    <w:rsid w:val="008F26CB"/>
    <w:rsid w:val="008F6C14"/>
    <w:rsid w:val="009111EF"/>
    <w:rsid w:val="00923CD6"/>
    <w:rsid w:val="00932F8A"/>
    <w:rsid w:val="00954AA0"/>
    <w:rsid w:val="0096788F"/>
    <w:rsid w:val="00967A2E"/>
    <w:rsid w:val="00974819"/>
    <w:rsid w:val="00982110"/>
    <w:rsid w:val="009975D9"/>
    <w:rsid w:val="009B3FCA"/>
    <w:rsid w:val="009B704A"/>
    <w:rsid w:val="009E72FA"/>
    <w:rsid w:val="009F260F"/>
    <w:rsid w:val="00A12831"/>
    <w:rsid w:val="00A21AFC"/>
    <w:rsid w:val="00A30130"/>
    <w:rsid w:val="00A30353"/>
    <w:rsid w:val="00A304F0"/>
    <w:rsid w:val="00A468B4"/>
    <w:rsid w:val="00A85043"/>
    <w:rsid w:val="00A859D3"/>
    <w:rsid w:val="00A97C67"/>
    <w:rsid w:val="00AA6E35"/>
    <w:rsid w:val="00AB16E2"/>
    <w:rsid w:val="00AE0C84"/>
    <w:rsid w:val="00AF44A8"/>
    <w:rsid w:val="00B163D1"/>
    <w:rsid w:val="00B3698B"/>
    <w:rsid w:val="00B42546"/>
    <w:rsid w:val="00B428B5"/>
    <w:rsid w:val="00B43DA1"/>
    <w:rsid w:val="00B6585D"/>
    <w:rsid w:val="00B772B8"/>
    <w:rsid w:val="00B773A4"/>
    <w:rsid w:val="00B92DBA"/>
    <w:rsid w:val="00B95487"/>
    <w:rsid w:val="00B955EE"/>
    <w:rsid w:val="00BA4DCE"/>
    <w:rsid w:val="00BB66B9"/>
    <w:rsid w:val="00BD2A16"/>
    <w:rsid w:val="00C035D0"/>
    <w:rsid w:val="00C11D7F"/>
    <w:rsid w:val="00C1689D"/>
    <w:rsid w:val="00C2501F"/>
    <w:rsid w:val="00C3447C"/>
    <w:rsid w:val="00C35023"/>
    <w:rsid w:val="00C41F4F"/>
    <w:rsid w:val="00C42A6B"/>
    <w:rsid w:val="00C57FAC"/>
    <w:rsid w:val="00C76BDD"/>
    <w:rsid w:val="00CA6768"/>
    <w:rsid w:val="00CC00FF"/>
    <w:rsid w:val="00CC25CF"/>
    <w:rsid w:val="00CE377A"/>
    <w:rsid w:val="00CE7D58"/>
    <w:rsid w:val="00D020CC"/>
    <w:rsid w:val="00D02392"/>
    <w:rsid w:val="00D045DF"/>
    <w:rsid w:val="00D14362"/>
    <w:rsid w:val="00D170C3"/>
    <w:rsid w:val="00D425EF"/>
    <w:rsid w:val="00D45D38"/>
    <w:rsid w:val="00D47EF9"/>
    <w:rsid w:val="00D50862"/>
    <w:rsid w:val="00D64C05"/>
    <w:rsid w:val="00D95BDB"/>
    <w:rsid w:val="00DA2A11"/>
    <w:rsid w:val="00DA759A"/>
    <w:rsid w:val="00DA770E"/>
    <w:rsid w:val="00DE1176"/>
    <w:rsid w:val="00DF0058"/>
    <w:rsid w:val="00DF3138"/>
    <w:rsid w:val="00E0043B"/>
    <w:rsid w:val="00E00726"/>
    <w:rsid w:val="00E1797B"/>
    <w:rsid w:val="00E235B9"/>
    <w:rsid w:val="00E32D5A"/>
    <w:rsid w:val="00E4239F"/>
    <w:rsid w:val="00E60D41"/>
    <w:rsid w:val="00E66280"/>
    <w:rsid w:val="00E736D6"/>
    <w:rsid w:val="00ED0974"/>
    <w:rsid w:val="00ED4D6C"/>
    <w:rsid w:val="00EF35FC"/>
    <w:rsid w:val="00F13D46"/>
    <w:rsid w:val="00F15A08"/>
    <w:rsid w:val="00F22361"/>
    <w:rsid w:val="00F35F1D"/>
    <w:rsid w:val="00F43E3E"/>
    <w:rsid w:val="00F5515F"/>
    <w:rsid w:val="00F70480"/>
    <w:rsid w:val="00F75FE9"/>
    <w:rsid w:val="00F80AA2"/>
    <w:rsid w:val="00F8179F"/>
    <w:rsid w:val="00F950F9"/>
    <w:rsid w:val="00FA10E1"/>
    <w:rsid w:val="00FA5B61"/>
    <w:rsid w:val="00FB1484"/>
    <w:rsid w:val="00FD0B16"/>
    <w:rsid w:val="00FE15DF"/>
    <w:rsid w:val="011B4FA9"/>
    <w:rsid w:val="01372640"/>
    <w:rsid w:val="013E151B"/>
    <w:rsid w:val="014A2067"/>
    <w:rsid w:val="01A050EF"/>
    <w:rsid w:val="01A2023D"/>
    <w:rsid w:val="01C761D7"/>
    <w:rsid w:val="01DE3485"/>
    <w:rsid w:val="01F9035B"/>
    <w:rsid w:val="01FD7E4B"/>
    <w:rsid w:val="02076F1C"/>
    <w:rsid w:val="022E11DB"/>
    <w:rsid w:val="024B505A"/>
    <w:rsid w:val="026F33EB"/>
    <w:rsid w:val="02AB5AF9"/>
    <w:rsid w:val="02D2752A"/>
    <w:rsid w:val="030E7E36"/>
    <w:rsid w:val="03123DCA"/>
    <w:rsid w:val="03324FEC"/>
    <w:rsid w:val="036738D3"/>
    <w:rsid w:val="03795BF7"/>
    <w:rsid w:val="038F1A7B"/>
    <w:rsid w:val="03FE01D6"/>
    <w:rsid w:val="04180F6C"/>
    <w:rsid w:val="04207E21"/>
    <w:rsid w:val="04444E78"/>
    <w:rsid w:val="04486923"/>
    <w:rsid w:val="048803F5"/>
    <w:rsid w:val="04BB59BE"/>
    <w:rsid w:val="04BD1B14"/>
    <w:rsid w:val="04C530E3"/>
    <w:rsid w:val="04C67AA0"/>
    <w:rsid w:val="05243941"/>
    <w:rsid w:val="05A21627"/>
    <w:rsid w:val="05B922DB"/>
    <w:rsid w:val="05C42D45"/>
    <w:rsid w:val="05CD6BB2"/>
    <w:rsid w:val="066B3420"/>
    <w:rsid w:val="06846D8D"/>
    <w:rsid w:val="06B363BC"/>
    <w:rsid w:val="06BC6527"/>
    <w:rsid w:val="070B125C"/>
    <w:rsid w:val="070E48A8"/>
    <w:rsid w:val="07397B77"/>
    <w:rsid w:val="073E4E99"/>
    <w:rsid w:val="073E518E"/>
    <w:rsid w:val="075F1780"/>
    <w:rsid w:val="077706A0"/>
    <w:rsid w:val="078B5EF9"/>
    <w:rsid w:val="07BC2556"/>
    <w:rsid w:val="07CC09EB"/>
    <w:rsid w:val="08033CE1"/>
    <w:rsid w:val="081163FE"/>
    <w:rsid w:val="084E1401"/>
    <w:rsid w:val="08662CB5"/>
    <w:rsid w:val="08752E31"/>
    <w:rsid w:val="08B63BCD"/>
    <w:rsid w:val="08B651F8"/>
    <w:rsid w:val="08B84ACC"/>
    <w:rsid w:val="08E514EF"/>
    <w:rsid w:val="08F97B10"/>
    <w:rsid w:val="0958005D"/>
    <w:rsid w:val="09594501"/>
    <w:rsid w:val="095F13EB"/>
    <w:rsid w:val="098B0432"/>
    <w:rsid w:val="09BE3E08"/>
    <w:rsid w:val="09C26434"/>
    <w:rsid w:val="09D9119E"/>
    <w:rsid w:val="09F204B1"/>
    <w:rsid w:val="0A0501E5"/>
    <w:rsid w:val="0A0859FC"/>
    <w:rsid w:val="0A250E24"/>
    <w:rsid w:val="0A334D52"/>
    <w:rsid w:val="0A64315D"/>
    <w:rsid w:val="0A927936"/>
    <w:rsid w:val="0A943317"/>
    <w:rsid w:val="0A9805B1"/>
    <w:rsid w:val="0AEE6ECB"/>
    <w:rsid w:val="0B1A7CC0"/>
    <w:rsid w:val="0B1F52D6"/>
    <w:rsid w:val="0B27418B"/>
    <w:rsid w:val="0B5E5DFE"/>
    <w:rsid w:val="0BAE198D"/>
    <w:rsid w:val="0BCF0AAA"/>
    <w:rsid w:val="0C2D3A23"/>
    <w:rsid w:val="0C7B2583"/>
    <w:rsid w:val="0CB8153E"/>
    <w:rsid w:val="0CBF3458"/>
    <w:rsid w:val="0D10137A"/>
    <w:rsid w:val="0D3A01A5"/>
    <w:rsid w:val="0D3D7CF2"/>
    <w:rsid w:val="0D4D1437"/>
    <w:rsid w:val="0D85640E"/>
    <w:rsid w:val="0D957AD2"/>
    <w:rsid w:val="0DB307C0"/>
    <w:rsid w:val="0DBA2CFE"/>
    <w:rsid w:val="0DC26018"/>
    <w:rsid w:val="0E485CCF"/>
    <w:rsid w:val="0E884F40"/>
    <w:rsid w:val="0E9B4C74"/>
    <w:rsid w:val="0EC72809"/>
    <w:rsid w:val="0EEA1757"/>
    <w:rsid w:val="0EEF6D6E"/>
    <w:rsid w:val="0EF80318"/>
    <w:rsid w:val="0F0441CB"/>
    <w:rsid w:val="0F29227F"/>
    <w:rsid w:val="0F2F1860"/>
    <w:rsid w:val="0F587009"/>
    <w:rsid w:val="0F6634D4"/>
    <w:rsid w:val="0FFC3E38"/>
    <w:rsid w:val="101C0036"/>
    <w:rsid w:val="103A2EB9"/>
    <w:rsid w:val="10612472"/>
    <w:rsid w:val="108D683E"/>
    <w:rsid w:val="10CD1330"/>
    <w:rsid w:val="10D16104"/>
    <w:rsid w:val="10E537B4"/>
    <w:rsid w:val="10FE06E8"/>
    <w:rsid w:val="110805BA"/>
    <w:rsid w:val="113733EE"/>
    <w:rsid w:val="113B51A5"/>
    <w:rsid w:val="113D2012"/>
    <w:rsid w:val="11524DD7"/>
    <w:rsid w:val="11E06779"/>
    <w:rsid w:val="11EE5A02"/>
    <w:rsid w:val="12385198"/>
    <w:rsid w:val="124B69B1"/>
    <w:rsid w:val="125070D2"/>
    <w:rsid w:val="12692C28"/>
    <w:rsid w:val="12865C3B"/>
    <w:rsid w:val="128B5A61"/>
    <w:rsid w:val="12AF0CEE"/>
    <w:rsid w:val="13032586"/>
    <w:rsid w:val="130D4E32"/>
    <w:rsid w:val="131221D4"/>
    <w:rsid w:val="13152710"/>
    <w:rsid w:val="13394A5B"/>
    <w:rsid w:val="133E02C4"/>
    <w:rsid w:val="13697BCB"/>
    <w:rsid w:val="137A6CB0"/>
    <w:rsid w:val="13806B2E"/>
    <w:rsid w:val="13B50586"/>
    <w:rsid w:val="13E841C5"/>
    <w:rsid w:val="14045069"/>
    <w:rsid w:val="140908D1"/>
    <w:rsid w:val="142E0338"/>
    <w:rsid w:val="14373BDA"/>
    <w:rsid w:val="14495172"/>
    <w:rsid w:val="14506500"/>
    <w:rsid w:val="147E306D"/>
    <w:rsid w:val="147F2942"/>
    <w:rsid w:val="150965D5"/>
    <w:rsid w:val="151B0395"/>
    <w:rsid w:val="154D2173"/>
    <w:rsid w:val="156438C7"/>
    <w:rsid w:val="15712B1F"/>
    <w:rsid w:val="15785D0F"/>
    <w:rsid w:val="15B8610B"/>
    <w:rsid w:val="15B91E83"/>
    <w:rsid w:val="15E769F0"/>
    <w:rsid w:val="16021A3F"/>
    <w:rsid w:val="162E0AC3"/>
    <w:rsid w:val="16327340"/>
    <w:rsid w:val="167E55A7"/>
    <w:rsid w:val="16E87B9A"/>
    <w:rsid w:val="171B1048"/>
    <w:rsid w:val="171E1D8D"/>
    <w:rsid w:val="17266257"/>
    <w:rsid w:val="173F405B"/>
    <w:rsid w:val="174133D1"/>
    <w:rsid w:val="17476013"/>
    <w:rsid w:val="174D4F79"/>
    <w:rsid w:val="17552344"/>
    <w:rsid w:val="17B62B1E"/>
    <w:rsid w:val="17D5194F"/>
    <w:rsid w:val="17F27DB5"/>
    <w:rsid w:val="17FE34F4"/>
    <w:rsid w:val="181141F9"/>
    <w:rsid w:val="181635BD"/>
    <w:rsid w:val="18297794"/>
    <w:rsid w:val="18455C50"/>
    <w:rsid w:val="1867599A"/>
    <w:rsid w:val="18C94AD3"/>
    <w:rsid w:val="19031D93"/>
    <w:rsid w:val="196B16E7"/>
    <w:rsid w:val="19940C3D"/>
    <w:rsid w:val="19CE23A9"/>
    <w:rsid w:val="19D90D46"/>
    <w:rsid w:val="19D96F98"/>
    <w:rsid w:val="19EA6AAF"/>
    <w:rsid w:val="19FC25D9"/>
    <w:rsid w:val="1A08456E"/>
    <w:rsid w:val="1A8213DE"/>
    <w:rsid w:val="1A8E38DF"/>
    <w:rsid w:val="1ABB736F"/>
    <w:rsid w:val="1B355C05"/>
    <w:rsid w:val="1B4D379A"/>
    <w:rsid w:val="1B5C54D9"/>
    <w:rsid w:val="1B754A9E"/>
    <w:rsid w:val="1B854CE1"/>
    <w:rsid w:val="1BCF376B"/>
    <w:rsid w:val="1BF259E0"/>
    <w:rsid w:val="1BF260EF"/>
    <w:rsid w:val="1C281B33"/>
    <w:rsid w:val="1C3404B6"/>
    <w:rsid w:val="1C50434B"/>
    <w:rsid w:val="1C896A53"/>
    <w:rsid w:val="1CB533A4"/>
    <w:rsid w:val="1CD51C99"/>
    <w:rsid w:val="1CE27F12"/>
    <w:rsid w:val="1CEB6DC6"/>
    <w:rsid w:val="1D044487"/>
    <w:rsid w:val="1D130CC1"/>
    <w:rsid w:val="1D57350A"/>
    <w:rsid w:val="1D7E5E8C"/>
    <w:rsid w:val="1D992CC6"/>
    <w:rsid w:val="1DAC0C4B"/>
    <w:rsid w:val="1DE439F1"/>
    <w:rsid w:val="1DF71475"/>
    <w:rsid w:val="1E19135F"/>
    <w:rsid w:val="1E194461"/>
    <w:rsid w:val="1E70582B"/>
    <w:rsid w:val="1E7D0307"/>
    <w:rsid w:val="1EBA2EF4"/>
    <w:rsid w:val="1F3709E9"/>
    <w:rsid w:val="1F38206B"/>
    <w:rsid w:val="1FA91BAE"/>
    <w:rsid w:val="20085EE1"/>
    <w:rsid w:val="201C10B2"/>
    <w:rsid w:val="207417C9"/>
    <w:rsid w:val="20C4005A"/>
    <w:rsid w:val="20CD2416"/>
    <w:rsid w:val="20EF0E4F"/>
    <w:rsid w:val="21175DBB"/>
    <w:rsid w:val="21505D92"/>
    <w:rsid w:val="21582E98"/>
    <w:rsid w:val="219519F6"/>
    <w:rsid w:val="21D06ED2"/>
    <w:rsid w:val="21D3458C"/>
    <w:rsid w:val="21D544E9"/>
    <w:rsid w:val="21E47130"/>
    <w:rsid w:val="22286A32"/>
    <w:rsid w:val="2237485C"/>
    <w:rsid w:val="223E3E37"/>
    <w:rsid w:val="227B5090"/>
    <w:rsid w:val="227E692E"/>
    <w:rsid w:val="22995063"/>
    <w:rsid w:val="22AE721D"/>
    <w:rsid w:val="22C407E5"/>
    <w:rsid w:val="22E36792"/>
    <w:rsid w:val="22E87666"/>
    <w:rsid w:val="230961F8"/>
    <w:rsid w:val="23264FFC"/>
    <w:rsid w:val="23272B22"/>
    <w:rsid w:val="23290648"/>
    <w:rsid w:val="23605838"/>
    <w:rsid w:val="23A10657"/>
    <w:rsid w:val="23C93BD9"/>
    <w:rsid w:val="23CD4A35"/>
    <w:rsid w:val="23E26A49"/>
    <w:rsid w:val="23F7464E"/>
    <w:rsid w:val="24CC3981"/>
    <w:rsid w:val="25180974"/>
    <w:rsid w:val="252E09F3"/>
    <w:rsid w:val="25445C0D"/>
    <w:rsid w:val="25757F11"/>
    <w:rsid w:val="25761B3F"/>
    <w:rsid w:val="259124D5"/>
    <w:rsid w:val="25B06295"/>
    <w:rsid w:val="25DF5936"/>
    <w:rsid w:val="25E62215"/>
    <w:rsid w:val="25E92311"/>
    <w:rsid w:val="265005E2"/>
    <w:rsid w:val="26B50445"/>
    <w:rsid w:val="27321A96"/>
    <w:rsid w:val="275245C2"/>
    <w:rsid w:val="276A24C1"/>
    <w:rsid w:val="277F4CDB"/>
    <w:rsid w:val="27DD40F7"/>
    <w:rsid w:val="27F46C8A"/>
    <w:rsid w:val="28416434"/>
    <w:rsid w:val="28573CEA"/>
    <w:rsid w:val="28732366"/>
    <w:rsid w:val="2894468D"/>
    <w:rsid w:val="28EA087A"/>
    <w:rsid w:val="28EA0C44"/>
    <w:rsid w:val="292A6EC8"/>
    <w:rsid w:val="29934A6D"/>
    <w:rsid w:val="29DA6B40"/>
    <w:rsid w:val="29DF5F05"/>
    <w:rsid w:val="29EE439A"/>
    <w:rsid w:val="2A3F1207"/>
    <w:rsid w:val="2A4144C9"/>
    <w:rsid w:val="2A44220C"/>
    <w:rsid w:val="2A4E746B"/>
    <w:rsid w:val="2A9C7E6E"/>
    <w:rsid w:val="2AC07CEB"/>
    <w:rsid w:val="2AE03D95"/>
    <w:rsid w:val="2AE61515"/>
    <w:rsid w:val="2B285689"/>
    <w:rsid w:val="2B394168"/>
    <w:rsid w:val="2B4C581C"/>
    <w:rsid w:val="2B885423"/>
    <w:rsid w:val="2BA72A52"/>
    <w:rsid w:val="2BC43604"/>
    <w:rsid w:val="2BC55E66"/>
    <w:rsid w:val="2BE47802"/>
    <w:rsid w:val="2C014A43"/>
    <w:rsid w:val="2C464019"/>
    <w:rsid w:val="2C5030EA"/>
    <w:rsid w:val="2C5F157F"/>
    <w:rsid w:val="2C7D37B3"/>
    <w:rsid w:val="2C82701B"/>
    <w:rsid w:val="2C8E59C0"/>
    <w:rsid w:val="2C9021ED"/>
    <w:rsid w:val="2CA86A82"/>
    <w:rsid w:val="2CBA4A07"/>
    <w:rsid w:val="2D1656CF"/>
    <w:rsid w:val="2D175A28"/>
    <w:rsid w:val="2D19172E"/>
    <w:rsid w:val="2D460049"/>
    <w:rsid w:val="2D6D1A79"/>
    <w:rsid w:val="2D776454"/>
    <w:rsid w:val="2D937732"/>
    <w:rsid w:val="2DCC49F2"/>
    <w:rsid w:val="2E007DC0"/>
    <w:rsid w:val="2E2412A7"/>
    <w:rsid w:val="2E2F7B75"/>
    <w:rsid w:val="2E344345"/>
    <w:rsid w:val="2E6D4957"/>
    <w:rsid w:val="2E980D78"/>
    <w:rsid w:val="2F154177"/>
    <w:rsid w:val="2F212B1B"/>
    <w:rsid w:val="2F2F348A"/>
    <w:rsid w:val="2F3E191F"/>
    <w:rsid w:val="2F4607D4"/>
    <w:rsid w:val="2F5A568C"/>
    <w:rsid w:val="2F780B73"/>
    <w:rsid w:val="2F9B467C"/>
    <w:rsid w:val="2FAC4ADB"/>
    <w:rsid w:val="2FCF07C9"/>
    <w:rsid w:val="2FD94828"/>
    <w:rsid w:val="2FE42670"/>
    <w:rsid w:val="2FF92DBF"/>
    <w:rsid w:val="30316D8E"/>
    <w:rsid w:val="303E1027"/>
    <w:rsid w:val="306B5CE9"/>
    <w:rsid w:val="306E4B2F"/>
    <w:rsid w:val="308E41E1"/>
    <w:rsid w:val="30A61108"/>
    <w:rsid w:val="30B32C64"/>
    <w:rsid w:val="30C96FC7"/>
    <w:rsid w:val="30FE3240"/>
    <w:rsid w:val="31175F84"/>
    <w:rsid w:val="315B4847"/>
    <w:rsid w:val="3175714F"/>
    <w:rsid w:val="31905D36"/>
    <w:rsid w:val="31B20116"/>
    <w:rsid w:val="31F57A36"/>
    <w:rsid w:val="321908CC"/>
    <w:rsid w:val="32454D73"/>
    <w:rsid w:val="32650F71"/>
    <w:rsid w:val="330D3AE3"/>
    <w:rsid w:val="334943EF"/>
    <w:rsid w:val="335C6818"/>
    <w:rsid w:val="338A5133"/>
    <w:rsid w:val="33AF6948"/>
    <w:rsid w:val="33C85C5B"/>
    <w:rsid w:val="343926B5"/>
    <w:rsid w:val="346C2A8B"/>
    <w:rsid w:val="34705357"/>
    <w:rsid w:val="34880F47"/>
    <w:rsid w:val="34B41D3C"/>
    <w:rsid w:val="3522139B"/>
    <w:rsid w:val="35696FCA"/>
    <w:rsid w:val="359C2EFC"/>
    <w:rsid w:val="35C46909"/>
    <w:rsid w:val="36213D94"/>
    <w:rsid w:val="366B1A8C"/>
    <w:rsid w:val="36987B39"/>
    <w:rsid w:val="36C73FA8"/>
    <w:rsid w:val="37702892"/>
    <w:rsid w:val="379504F3"/>
    <w:rsid w:val="37F708BD"/>
    <w:rsid w:val="37FA03AE"/>
    <w:rsid w:val="37FB65FF"/>
    <w:rsid w:val="384358B1"/>
    <w:rsid w:val="385D0BF9"/>
    <w:rsid w:val="38AD1D23"/>
    <w:rsid w:val="38CD161E"/>
    <w:rsid w:val="38FB262F"/>
    <w:rsid w:val="39082F88"/>
    <w:rsid w:val="390A0069"/>
    <w:rsid w:val="394107EC"/>
    <w:rsid w:val="395B1F09"/>
    <w:rsid w:val="399F2317"/>
    <w:rsid w:val="399F745E"/>
    <w:rsid w:val="39E135D3"/>
    <w:rsid w:val="39ED6500"/>
    <w:rsid w:val="39FA3DA9"/>
    <w:rsid w:val="3AC9755C"/>
    <w:rsid w:val="3B372259"/>
    <w:rsid w:val="3B563B4D"/>
    <w:rsid w:val="3B785ADF"/>
    <w:rsid w:val="3B8763FC"/>
    <w:rsid w:val="3B9B4924"/>
    <w:rsid w:val="3C432323"/>
    <w:rsid w:val="3CAB1C76"/>
    <w:rsid w:val="3CD340AA"/>
    <w:rsid w:val="3D006466"/>
    <w:rsid w:val="3D1E4B3E"/>
    <w:rsid w:val="3D213769"/>
    <w:rsid w:val="3D324146"/>
    <w:rsid w:val="3D4D7048"/>
    <w:rsid w:val="3D714C6E"/>
    <w:rsid w:val="3D75636D"/>
    <w:rsid w:val="3D7824A0"/>
    <w:rsid w:val="3D8361CF"/>
    <w:rsid w:val="3D95517D"/>
    <w:rsid w:val="3DBF643A"/>
    <w:rsid w:val="3DD1570D"/>
    <w:rsid w:val="3DDF1946"/>
    <w:rsid w:val="3DEB0196"/>
    <w:rsid w:val="3DF633C5"/>
    <w:rsid w:val="3E5720B6"/>
    <w:rsid w:val="3E5E2A3B"/>
    <w:rsid w:val="3E90381A"/>
    <w:rsid w:val="3EC755F9"/>
    <w:rsid w:val="3F0A5C7E"/>
    <w:rsid w:val="3F1BD0D8"/>
    <w:rsid w:val="3F372080"/>
    <w:rsid w:val="3F397A0D"/>
    <w:rsid w:val="3F5829A7"/>
    <w:rsid w:val="3F5D6D3B"/>
    <w:rsid w:val="3F8E5FAB"/>
    <w:rsid w:val="3F9F3D14"/>
    <w:rsid w:val="3FC27A03"/>
    <w:rsid w:val="3FDC2791"/>
    <w:rsid w:val="3FDF697D"/>
    <w:rsid w:val="3FF027C2"/>
    <w:rsid w:val="4013025E"/>
    <w:rsid w:val="40173D65"/>
    <w:rsid w:val="40606E51"/>
    <w:rsid w:val="408B7B57"/>
    <w:rsid w:val="40AB0497"/>
    <w:rsid w:val="40C15F0C"/>
    <w:rsid w:val="40CD733F"/>
    <w:rsid w:val="40D479EE"/>
    <w:rsid w:val="41306BEE"/>
    <w:rsid w:val="41410DFB"/>
    <w:rsid w:val="418559EE"/>
    <w:rsid w:val="41D852BC"/>
    <w:rsid w:val="41DA3519"/>
    <w:rsid w:val="41E225DE"/>
    <w:rsid w:val="41F1637D"/>
    <w:rsid w:val="41F30837"/>
    <w:rsid w:val="422229DB"/>
    <w:rsid w:val="422C5607"/>
    <w:rsid w:val="42335EA5"/>
    <w:rsid w:val="424B0183"/>
    <w:rsid w:val="428B728C"/>
    <w:rsid w:val="428F6E0F"/>
    <w:rsid w:val="42924669"/>
    <w:rsid w:val="42A50813"/>
    <w:rsid w:val="42FF4ACA"/>
    <w:rsid w:val="4310611E"/>
    <w:rsid w:val="43302ED5"/>
    <w:rsid w:val="438356FB"/>
    <w:rsid w:val="43A15B81"/>
    <w:rsid w:val="43F959BD"/>
    <w:rsid w:val="43FF4345"/>
    <w:rsid w:val="442F4BA2"/>
    <w:rsid w:val="44654E01"/>
    <w:rsid w:val="446C4E58"/>
    <w:rsid w:val="44766026"/>
    <w:rsid w:val="449B0A4F"/>
    <w:rsid w:val="44B26298"/>
    <w:rsid w:val="44CE0BF8"/>
    <w:rsid w:val="45041E7C"/>
    <w:rsid w:val="4541482F"/>
    <w:rsid w:val="4554734F"/>
    <w:rsid w:val="45660E30"/>
    <w:rsid w:val="457C4AF8"/>
    <w:rsid w:val="4597723C"/>
    <w:rsid w:val="45A656D1"/>
    <w:rsid w:val="45BC4EF4"/>
    <w:rsid w:val="45D70438"/>
    <w:rsid w:val="462211FB"/>
    <w:rsid w:val="46342CDD"/>
    <w:rsid w:val="46601D24"/>
    <w:rsid w:val="46951900"/>
    <w:rsid w:val="46D71FE6"/>
    <w:rsid w:val="46DA3884"/>
    <w:rsid w:val="46E62229"/>
    <w:rsid w:val="47462CC7"/>
    <w:rsid w:val="475573AE"/>
    <w:rsid w:val="47A679B6"/>
    <w:rsid w:val="47C00CCC"/>
    <w:rsid w:val="47CD163B"/>
    <w:rsid w:val="481C1E94"/>
    <w:rsid w:val="4882344D"/>
    <w:rsid w:val="4887114D"/>
    <w:rsid w:val="48A759E8"/>
    <w:rsid w:val="48C93BB0"/>
    <w:rsid w:val="48DA5DBD"/>
    <w:rsid w:val="491A2F31"/>
    <w:rsid w:val="491B5A5E"/>
    <w:rsid w:val="49303C2F"/>
    <w:rsid w:val="4961028C"/>
    <w:rsid w:val="49A32653"/>
    <w:rsid w:val="49DA3B9B"/>
    <w:rsid w:val="49F031CD"/>
    <w:rsid w:val="4A1B668D"/>
    <w:rsid w:val="4A253F1B"/>
    <w:rsid w:val="4A274B27"/>
    <w:rsid w:val="4A275032"/>
    <w:rsid w:val="4A7A7858"/>
    <w:rsid w:val="4A8B1F7E"/>
    <w:rsid w:val="4AE921DB"/>
    <w:rsid w:val="4B054C48"/>
    <w:rsid w:val="4B0A47E5"/>
    <w:rsid w:val="4B2839A5"/>
    <w:rsid w:val="4B323C3A"/>
    <w:rsid w:val="4B5A4F93"/>
    <w:rsid w:val="4B7F18F5"/>
    <w:rsid w:val="4BB52B12"/>
    <w:rsid w:val="4BB70638"/>
    <w:rsid w:val="4BC171E5"/>
    <w:rsid w:val="4BDE4249"/>
    <w:rsid w:val="4C027573"/>
    <w:rsid w:val="4C35155C"/>
    <w:rsid w:val="4C515898"/>
    <w:rsid w:val="4C7C718B"/>
    <w:rsid w:val="4C87000A"/>
    <w:rsid w:val="4C8818E2"/>
    <w:rsid w:val="4CB701F8"/>
    <w:rsid w:val="4CF909F2"/>
    <w:rsid w:val="4CFA2F20"/>
    <w:rsid w:val="4D265A75"/>
    <w:rsid w:val="4D376EF3"/>
    <w:rsid w:val="4D41465D"/>
    <w:rsid w:val="4E1C29D4"/>
    <w:rsid w:val="4E2B207B"/>
    <w:rsid w:val="4E5B34FC"/>
    <w:rsid w:val="4EB54126"/>
    <w:rsid w:val="4ECE0172"/>
    <w:rsid w:val="4EE546F3"/>
    <w:rsid w:val="4EEE4370"/>
    <w:rsid w:val="4F082F58"/>
    <w:rsid w:val="4F0F22F9"/>
    <w:rsid w:val="4F806F93"/>
    <w:rsid w:val="4F820F5D"/>
    <w:rsid w:val="4F9273F2"/>
    <w:rsid w:val="4F975776"/>
    <w:rsid w:val="4FC54A6F"/>
    <w:rsid w:val="502148AD"/>
    <w:rsid w:val="503C14CC"/>
    <w:rsid w:val="50724B2D"/>
    <w:rsid w:val="508362F4"/>
    <w:rsid w:val="509476F6"/>
    <w:rsid w:val="50BF0E1B"/>
    <w:rsid w:val="50D92746"/>
    <w:rsid w:val="50DD469C"/>
    <w:rsid w:val="51183927"/>
    <w:rsid w:val="513B13C3"/>
    <w:rsid w:val="51726A5E"/>
    <w:rsid w:val="517B65F4"/>
    <w:rsid w:val="51A27694"/>
    <w:rsid w:val="51CB0999"/>
    <w:rsid w:val="51F7382A"/>
    <w:rsid w:val="520E0886"/>
    <w:rsid w:val="5261672F"/>
    <w:rsid w:val="526861E8"/>
    <w:rsid w:val="526F57C8"/>
    <w:rsid w:val="52830227"/>
    <w:rsid w:val="52A01E26"/>
    <w:rsid w:val="52B753C1"/>
    <w:rsid w:val="53034162"/>
    <w:rsid w:val="533857D3"/>
    <w:rsid w:val="535624E4"/>
    <w:rsid w:val="53F341D7"/>
    <w:rsid w:val="54286D42"/>
    <w:rsid w:val="54484523"/>
    <w:rsid w:val="54696247"/>
    <w:rsid w:val="5472334E"/>
    <w:rsid w:val="54E82C59"/>
    <w:rsid w:val="55081F04"/>
    <w:rsid w:val="55621614"/>
    <w:rsid w:val="55654C60"/>
    <w:rsid w:val="55AD03B6"/>
    <w:rsid w:val="55B30230"/>
    <w:rsid w:val="55C45E2B"/>
    <w:rsid w:val="561F3061"/>
    <w:rsid w:val="56270168"/>
    <w:rsid w:val="563A7E9B"/>
    <w:rsid w:val="566521F1"/>
    <w:rsid w:val="56876E58"/>
    <w:rsid w:val="56C1630D"/>
    <w:rsid w:val="56DC0F52"/>
    <w:rsid w:val="56E36785"/>
    <w:rsid w:val="570B1838"/>
    <w:rsid w:val="57316401"/>
    <w:rsid w:val="57480C4D"/>
    <w:rsid w:val="575B456D"/>
    <w:rsid w:val="57720F07"/>
    <w:rsid w:val="57E36310"/>
    <w:rsid w:val="5818245E"/>
    <w:rsid w:val="581D5CC6"/>
    <w:rsid w:val="58344A22"/>
    <w:rsid w:val="583D1F2E"/>
    <w:rsid w:val="584B2834"/>
    <w:rsid w:val="58BD675C"/>
    <w:rsid w:val="58E56728"/>
    <w:rsid w:val="58FD3402"/>
    <w:rsid w:val="590A3EC5"/>
    <w:rsid w:val="596A6CE9"/>
    <w:rsid w:val="5999137D"/>
    <w:rsid w:val="59A815C0"/>
    <w:rsid w:val="5A301901"/>
    <w:rsid w:val="5A3B0686"/>
    <w:rsid w:val="5A4E2167"/>
    <w:rsid w:val="5A6E45B7"/>
    <w:rsid w:val="5A7A73D5"/>
    <w:rsid w:val="5A9A4363"/>
    <w:rsid w:val="5A9A53AC"/>
    <w:rsid w:val="5AF56A87"/>
    <w:rsid w:val="5AF90236"/>
    <w:rsid w:val="5B3668FA"/>
    <w:rsid w:val="5B490B80"/>
    <w:rsid w:val="5B6503E5"/>
    <w:rsid w:val="5B8C73EB"/>
    <w:rsid w:val="5BD13050"/>
    <w:rsid w:val="5CA42512"/>
    <w:rsid w:val="5CC2508E"/>
    <w:rsid w:val="5CC94125"/>
    <w:rsid w:val="5CD35738"/>
    <w:rsid w:val="5D010FF8"/>
    <w:rsid w:val="5D017965"/>
    <w:rsid w:val="5D1F603D"/>
    <w:rsid w:val="5D4E0283"/>
    <w:rsid w:val="5D8F4F70"/>
    <w:rsid w:val="5DBB3FB7"/>
    <w:rsid w:val="5DCB1D21"/>
    <w:rsid w:val="5DCF1811"/>
    <w:rsid w:val="5DED03E7"/>
    <w:rsid w:val="5DF43025"/>
    <w:rsid w:val="5DFA3490"/>
    <w:rsid w:val="5DFC1EDA"/>
    <w:rsid w:val="5E40626B"/>
    <w:rsid w:val="5E533D26"/>
    <w:rsid w:val="5E6C7060"/>
    <w:rsid w:val="5E7B22D2"/>
    <w:rsid w:val="5E9C73CD"/>
    <w:rsid w:val="5EDF1F0C"/>
    <w:rsid w:val="5F334021"/>
    <w:rsid w:val="5F5226F9"/>
    <w:rsid w:val="5F602FBB"/>
    <w:rsid w:val="5F9307B0"/>
    <w:rsid w:val="5FBC21B9"/>
    <w:rsid w:val="5FFC08B7"/>
    <w:rsid w:val="60145C01"/>
    <w:rsid w:val="602816AC"/>
    <w:rsid w:val="602B36D0"/>
    <w:rsid w:val="60432042"/>
    <w:rsid w:val="606F72DB"/>
    <w:rsid w:val="60795A64"/>
    <w:rsid w:val="616D55C9"/>
    <w:rsid w:val="617C3A5E"/>
    <w:rsid w:val="618E6BF9"/>
    <w:rsid w:val="61B74A96"/>
    <w:rsid w:val="61BB3D7F"/>
    <w:rsid w:val="61C471B3"/>
    <w:rsid w:val="61D8307C"/>
    <w:rsid w:val="61F25ACE"/>
    <w:rsid w:val="62141EE8"/>
    <w:rsid w:val="624A3B5C"/>
    <w:rsid w:val="625247BE"/>
    <w:rsid w:val="62774225"/>
    <w:rsid w:val="627821AA"/>
    <w:rsid w:val="628D3A49"/>
    <w:rsid w:val="628D57F7"/>
    <w:rsid w:val="62F60F39"/>
    <w:rsid w:val="63025EB7"/>
    <w:rsid w:val="631D6B7A"/>
    <w:rsid w:val="6352472A"/>
    <w:rsid w:val="63DA0F0F"/>
    <w:rsid w:val="640D4E41"/>
    <w:rsid w:val="640F0BB9"/>
    <w:rsid w:val="642A53C6"/>
    <w:rsid w:val="64425F0B"/>
    <w:rsid w:val="64610CE9"/>
    <w:rsid w:val="64A2280B"/>
    <w:rsid w:val="64C33752"/>
    <w:rsid w:val="65006754"/>
    <w:rsid w:val="65053D6A"/>
    <w:rsid w:val="65136487"/>
    <w:rsid w:val="65285555"/>
    <w:rsid w:val="652E32C1"/>
    <w:rsid w:val="653C7562"/>
    <w:rsid w:val="65483089"/>
    <w:rsid w:val="65510D5D"/>
    <w:rsid w:val="65E120E1"/>
    <w:rsid w:val="66743F27"/>
    <w:rsid w:val="66904C2B"/>
    <w:rsid w:val="66EA1469"/>
    <w:rsid w:val="66FE6CC3"/>
    <w:rsid w:val="676F0F89"/>
    <w:rsid w:val="677D5C8C"/>
    <w:rsid w:val="678C42CF"/>
    <w:rsid w:val="67986199"/>
    <w:rsid w:val="67DA14DE"/>
    <w:rsid w:val="68221AA0"/>
    <w:rsid w:val="682513F1"/>
    <w:rsid w:val="68993147"/>
    <w:rsid w:val="69112FA3"/>
    <w:rsid w:val="692F3110"/>
    <w:rsid w:val="696E6382"/>
    <w:rsid w:val="6985191D"/>
    <w:rsid w:val="69DE1E3D"/>
    <w:rsid w:val="69F543AD"/>
    <w:rsid w:val="6A222CC8"/>
    <w:rsid w:val="6A3A6264"/>
    <w:rsid w:val="6A55522F"/>
    <w:rsid w:val="6A6034B6"/>
    <w:rsid w:val="6A797EE3"/>
    <w:rsid w:val="6A822C19"/>
    <w:rsid w:val="6A9736B6"/>
    <w:rsid w:val="6AA54025"/>
    <w:rsid w:val="6ABC311D"/>
    <w:rsid w:val="6ADE7537"/>
    <w:rsid w:val="6B033510"/>
    <w:rsid w:val="6B0E0712"/>
    <w:rsid w:val="6B19056F"/>
    <w:rsid w:val="6B1B42E7"/>
    <w:rsid w:val="6B5E41D4"/>
    <w:rsid w:val="6B8A6D77"/>
    <w:rsid w:val="6B920A95"/>
    <w:rsid w:val="6B9A5558"/>
    <w:rsid w:val="6BAD2A66"/>
    <w:rsid w:val="6BB404EA"/>
    <w:rsid w:val="6BB42046"/>
    <w:rsid w:val="6BBB2C58"/>
    <w:rsid w:val="6BF374AD"/>
    <w:rsid w:val="6BF7CA57"/>
    <w:rsid w:val="6BFD1C3F"/>
    <w:rsid w:val="6BFD2D46"/>
    <w:rsid w:val="6BFFD3F1"/>
    <w:rsid w:val="6C4B29AA"/>
    <w:rsid w:val="6C7F2654"/>
    <w:rsid w:val="6C895575"/>
    <w:rsid w:val="6CE636BA"/>
    <w:rsid w:val="6CFC5A53"/>
    <w:rsid w:val="6D82064E"/>
    <w:rsid w:val="6DE22A68"/>
    <w:rsid w:val="6DE54739"/>
    <w:rsid w:val="6DF85F0B"/>
    <w:rsid w:val="6E05302D"/>
    <w:rsid w:val="6E0F602F"/>
    <w:rsid w:val="6E3631E6"/>
    <w:rsid w:val="6E4B4EE4"/>
    <w:rsid w:val="6E872C3B"/>
    <w:rsid w:val="6E963C85"/>
    <w:rsid w:val="6EA42846"/>
    <w:rsid w:val="6EAE5472"/>
    <w:rsid w:val="6EC24A7A"/>
    <w:rsid w:val="6EC34D2F"/>
    <w:rsid w:val="6EE92007"/>
    <w:rsid w:val="6EF07185"/>
    <w:rsid w:val="6EF2535F"/>
    <w:rsid w:val="6EF74724"/>
    <w:rsid w:val="6F4C5FF2"/>
    <w:rsid w:val="6F98707B"/>
    <w:rsid w:val="6FE416D5"/>
    <w:rsid w:val="700215D2"/>
    <w:rsid w:val="70076B11"/>
    <w:rsid w:val="705155F0"/>
    <w:rsid w:val="70651B61"/>
    <w:rsid w:val="707B3132"/>
    <w:rsid w:val="708E10B8"/>
    <w:rsid w:val="70BB79D3"/>
    <w:rsid w:val="70CB4833"/>
    <w:rsid w:val="70F3A910"/>
    <w:rsid w:val="711445FF"/>
    <w:rsid w:val="7121017E"/>
    <w:rsid w:val="712650C0"/>
    <w:rsid w:val="71461992"/>
    <w:rsid w:val="717A163C"/>
    <w:rsid w:val="71D47469"/>
    <w:rsid w:val="71E76CD1"/>
    <w:rsid w:val="71F72C8D"/>
    <w:rsid w:val="720A6E64"/>
    <w:rsid w:val="721F06C1"/>
    <w:rsid w:val="725264ED"/>
    <w:rsid w:val="727E3CA0"/>
    <w:rsid w:val="729556E2"/>
    <w:rsid w:val="729A27B4"/>
    <w:rsid w:val="72E96A79"/>
    <w:rsid w:val="72EE408F"/>
    <w:rsid w:val="72F37F5D"/>
    <w:rsid w:val="72F524E3"/>
    <w:rsid w:val="72FF44EF"/>
    <w:rsid w:val="7309711B"/>
    <w:rsid w:val="734E6645"/>
    <w:rsid w:val="73552361"/>
    <w:rsid w:val="735C724B"/>
    <w:rsid w:val="73766299"/>
    <w:rsid w:val="73870B0B"/>
    <w:rsid w:val="73924331"/>
    <w:rsid w:val="73B16150"/>
    <w:rsid w:val="73BA21C4"/>
    <w:rsid w:val="73BB3A8D"/>
    <w:rsid w:val="73BC23E0"/>
    <w:rsid w:val="73D26662"/>
    <w:rsid w:val="73EE04C2"/>
    <w:rsid w:val="746D7236"/>
    <w:rsid w:val="7486193A"/>
    <w:rsid w:val="74AC7D5E"/>
    <w:rsid w:val="74D07EF1"/>
    <w:rsid w:val="74E41BEE"/>
    <w:rsid w:val="74F43EC3"/>
    <w:rsid w:val="74F53239"/>
    <w:rsid w:val="75023E22"/>
    <w:rsid w:val="75257952"/>
    <w:rsid w:val="756C079A"/>
    <w:rsid w:val="759E3B4B"/>
    <w:rsid w:val="75A0276E"/>
    <w:rsid w:val="75B710B1"/>
    <w:rsid w:val="75C4732A"/>
    <w:rsid w:val="75EF084A"/>
    <w:rsid w:val="76034E57"/>
    <w:rsid w:val="766B0B94"/>
    <w:rsid w:val="767B2602"/>
    <w:rsid w:val="768723E2"/>
    <w:rsid w:val="76A519F0"/>
    <w:rsid w:val="76B51C6A"/>
    <w:rsid w:val="76E732D0"/>
    <w:rsid w:val="77244D7B"/>
    <w:rsid w:val="776A77CD"/>
    <w:rsid w:val="77E45A61"/>
    <w:rsid w:val="783F62AD"/>
    <w:rsid w:val="78730464"/>
    <w:rsid w:val="78964FAD"/>
    <w:rsid w:val="78AC47D1"/>
    <w:rsid w:val="78D41C3A"/>
    <w:rsid w:val="79022643"/>
    <w:rsid w:val="793060DE"/>
    <w:rsid w:val="7935138A"/>
    <w:rsid w:val="79426EE3"/>
    <w:rsid w:val="79553FE5"/>
    <w:rsid w:val="796C3F60"/>
    <w:rsid w:val="79CD2C51"/>
    <w:rsid w:val="79D0267D"/>
    <w:rsid w:val="7A3E58FC"/>
    <w:rsid w:val="7AD61FD9"/>
    <w:rsid w:val="7AD63D87"/>
    <w:rsid w:val="7AF16E13"/>
    <w:rsid w:val="7B1D19B6"/>
    <w:rsid w:val="7B310FBD"/>
    <w:rsid w:val="7B3CB072"/>
    <w:rsid w:val="7B3D7962"/>
    <w:rsid w:val="7B5B1387"/>
    <w:rsid w:val="7B784E3E"/>
    <w:rsid w:val="7B7D659C"/>
    <w:rsid w:val="7B8017A3"/>
    <w:rsid w:val="7BBB4D2B"/>
    <w:rsid w:val="7BF72CDC"/>
    <w:rsid w:val="7C3F770A"/>
    <w:rsid w:val="7C596A1E"/>
    <w:rsid w:val="7C5E4034"/>
    <w:rsid w:val="7C6453C2"/>
    <w:rsid w:val="7C6D071B"/>
    <w:rsid w:val="7CA35C3F"/>
    <w:rsid w:val="7CD04806"/>
    <w:rsid w:val="7CE03F04"/>
    <w:rsid w:val="7CF36E72"/>
    <w:rsid w:val="7CF662AC"/>
    <w:rsid w:val="7D136827"/>
    <w:rsid w:val="7D146DAE"/>
    <w:rsid w:val="7D230DDA"/>
    <w:rsid w:val="7D52739A"/>
    <w:rsid w:val="7D741635"/>
    <w:rsid w:val="7D847ACA"/>
    <w:rsid w:val="7D91540F"/>
    <w:rsid w:val="7DF06E33"/>
    <w:rsid w:val="7E123328"/>
    <w:rsid w:val="7E1C5F55"/>
    <w:rsid w:val="7E3C05ED"/>
    <w:rsid w:val="7E435896"/>
    <w:rsid w:val="7EE527EB"/>
    <w:rsid w:val="7EF173E1"/>
    <w:rsid w:val="7F0345DB"/>
    <w:rsid w:val="7F463608"/>
    <w:rsid w:val="7F54171E"/>
    <w:rsid w:val="7F6D3C49"/>
    <w:rsid w:val="7F9F090D"/>
    <w:rsid w:val="7FA97CBC"/>
    <w:rsid w:val="7FC06DB4"/>
    <w:rsid w:val="7FD665D7"/>
    <w:rsid w:val="7FFE45DD"/>
    <w:rsid w:val="BE754542"/>
    <w:rsid w:val="DBED4E40"/>
    <w:rsid w:val="F47DBA6F"/>
    <w:rsid w:val="F65409CC"/>
    <w:rsid w:val="FE1F6654"/>
    <w:rsid w:val="FFFF9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uiPriority="0" w:name="heading 4" w:locked="1"/>
    <w:lsdException w:uiPriority="0" w:name="heading 5" w:locked="1"/>
    <w:lsdException w:uiPriority="0" w:name="heading 6" w:locked="1"/>
    <w:lsdException w:uiPriority="0" w:name="heading 7" w:locked="1"/>
    <w:lsdException w:uiPriority="0" w:name="heading 8" w:locked="1"/>
    <w:lsdException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locked/>
    <w:uiPriority w:val="0"/>
    <w:pPr>
      <w:keepNext/>
      <w:keepLines/>
      <w:spacing w:before="340" w:after="330" w:line="578" w:lineRule="auto"/>
      <w:outlineLvl w:val="0"/>
    </w:pPr>
    <w:rPr>
      <w:b/>
      <w:bCs/>
      <w:kern w:val="44"/>
      <w:sz w:val="44"/>
    </w:rPr>
  </w:style>
  <w:style w:type="paragraph" w:styleId="3">
    <w:name w:val="heading 2"/>
    <w:basedOn w:val="1"/>
    <w:next w:val="1"/>
    <w:qFormat/>
    <w:locked/>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locked/>
    <w:uiPriority w:val="0"/>
    <w:pPr>
      <w:keepNext/>
      <w:keepLines/>
      <w:spacing w:before="260" w:after="260" w:line="415" w:lineRule="auto"/>
      <w:outlineLvl w:val="2"/>
    </w:pPr>
    <w:rPr>
      <w:b/>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style>
  <w:style w:type="paragraph" w:styleId="7">
    <w:name w:val="Body Text Indent 2"/>
    <w:basedOn w:val="1"/>
    <w:next w:val="1"/>
    <w:qFormat/>
    <w:uiPriority w:val="0"/>
    <w:pPr>
      <w:spacing w:after="120" w:line="480" w:lineRule="auto"/>
      <w:ind w:left="200" w:leftChars="200"/>
    </w:pPr>
    <w:rPr>
      <w:rFonts w:ascii="Times New Roman" w:hAnsi="Times New Roman" w:cs="Times New Roman"/>
      <w:szCs w:val="24"/>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next w:val="1"/>
    <w:qFormat/>
    <w:locked/>
    <w:uiPriority w:val="0"/>
    <w:pPr>
      <w:wordWrap w:val="0"/>
      <w:spacing w:after="60"/>
      <w:jc w:val="center"/>
    </w:pPr>
    <w:rPr>
      <w:rFonts w:ascii="宋体" w:hAnsi="宋体" w:eastAsia="宋体" w:cs="Times New Roman"/>
      <w:sz w:val="24"/>
      <w:lang w:val="en-US" w:eastAsia="zh-CN" w:bidi="ar-SA"/>
    </w:rPr>
  </w:style>
  <w:style w:type="paragraph" w:styleId="12">
    <w:name w:val="Normal (Web)"/>
    <w:basedOn w:val="1"/>
    <w:qFormat/>
    <w:uiPriority w:val="0"/>
    <w:pPr>
      <w:spacing w:before="100" w:beforeAutospacing="1" w:after="100" w:afterAutospacing="1"/>
    </w:pPr>
    <w:rPr>
      <w:rFonts w:ascii="宋体" w:hAnsi="Times New Roman" w:cs="Times New Roman"/>
      <w:sz w:val="24"/>
    </w:rPr>
  </w:style>
  <w:style w:type="paragraph" w:styleId="13">
    <w:name w:val="Body Text First Indent 2"/>
    <w:basedOn w:val="6"/>
    <w:qFormat/>
    <w:uiPriority w:val="0"/>
    <w:pPr>
      <w:ind w:firstLine="420" w:firstLineChars="200"/>
    </w:pPr>
    <w:rPr>
      <w:rFonts w:eastAsia="方正小标宋简体"/>
    </w:rPr>
  </w:style>
  <w:style w:type="character" w:styleId="16">
    <w:name w:val="Strong"/>
    <w:basedOn w:val="15"/>
    <w:qFormat/>
    <w:locked/>
    <w:uiPriority w:val="22"/>
    <w:rPr>
      <w:rFonts w:cs="Times New Roman"/>
      <w:b/>
    </w:rPr>
  </w:style>
  <w:style w:type="character" w:styleId="17">
    <w:name w:val="page number"/>
    <w:basedOn w:val="15"/>
    <w:qFormat/>
    <w:uiPriority w:val="0"/>
  </w:style>
  <w:style w:type="paragraph" w:customStyle="1" w:styleId="18">
    <w:name w:val="正文 A"/>
    <w:next w:val="1"/>
    <w:qFormat/>
    <w:uiPriority w:val="0"/>
    <w:pPr>
      <w:widowControl w:val="0"/>
      <w:suppressAutoHyphens/>
      <w:jc w:val="both"/>
    </w:pPr>
    <w:rPr>
      <w:rFonts w:ascii="Calibri" w:hAnsi="Calibri" w:eastAsia="Arial Unicode MS" w:cs="Arial Unicode MS"/>
      <w:color w:val="000000"/>
      <w:kern w:val="2"/>
      <w:sz w:val="21"/>
      <w:szCs w:val="21"/>
      <w:lang w:val="en-US" w:eastAsia="zh-CN" w:bidi="ar-SA"/>
    </w:rPr>
  </w:style>
  <w:style w:type="paragraph" w:customStyle="1" w:styleId="19">
    <w:name w:val="Char Char Char Char Char Char"/>
    <w:basedOn w:val="1"/>
    <w:qFormat/>
    <w:uiPriority w:val="0"/>
    <w:pPr>
      <w:widowControl/>
      <w:spacing w:after="160" w:line="240" w:lineRule="exact"/>
      <w:jc w:val="left"/>
    </w:pPr>
    <w:rPr>
      <w:rFonts w:ascii="Times New Roman" w:hAnsi="Times New Roman" w:eastAsia="仿宋_GB2312" w:cs="Times New Roman"/>
      <w:snapToGrid w:val="0"/>
      <w:sz w:val="32"/>
      <w:szCs w:val="32"/>
    </w:rPr>
  </w:style>
  <w:style w:type="paragraph" w:styleId="20">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58EAA0-B3DB-446E-BB3A-91F7C08DB6D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156</Words>
  <Characters>174</Characters>
  <Lines>243</Lines>
  <Paragraphs>68</Paragraphs>
  <TotalTime>156</TotalTime>
  <ScaleCrop>false</ScaleCrop>
  <LinksUpToDate>false</LinksUpToDate>
  <CharactersWithSpaces>181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2023-01-30T10:40:00Z</dcterms:created>
  <dc:creator>User</dc:creator>
  <cp:lastModifiedBy>Administrator</cp:lastModifiedBy>
  <cp:lastPrinted>2026-01-30T15:39:32Z</cp:lastPrinted>
  <dcterms:modified xsi:type="dcterms:W3CDTF">2026-01-30T16:10:51Z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4030554C11D74EC4867B22E22B296B84_13</vt:lpwstr>
  </property>
  <property fmtid="{D5CDD505-2E9C-101B-9397-08002B2CF9AE}" pid="4" name="KSOTemplateDocerSaveRecord">
    <vt:lpwstr>eyJoZGlkIjoiMDYzODhjN2FiMWFhMmIyMjQ5YmY5OTIzOWRlOTdkYjQiLCJ1c2VySWQiOiIyMDk3NzA4MTgifQ==</vt:lpwstr>
  </property>
</Properties>
</file>