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0"/>
        </w:tabs>
        <w:spacing w:line="560" w:lineRule="exact"/>
        <w:jc w:val="center"/>
        <w:textAlignment w:val="baseline"/>
        <w:rPr>
          <w:rStyle w:val="10"/>
          <w:rFonts w:ascii="方正小标宋简体" w:eastAsia="方正小标宋简体"/>
          <w:sz w:val="44"/>
          <w:szCs w:val="44"/>
          <w:lang w:val="en-US" w:eastAsia="zh-CN" w:bidi="ar-SA"/>
        </w:rPr>
      </w:pPr>
    </w:p>
    <w:p>
      <w:pPr>
        <w:tabs>
          <w:tab w:val="left" w:pos="710"/>
        </w:tabs>
        <w:spacing w:line="560" w:lineRule="exact"/>
        <w:jc w:val="center"/>
        <w:textAlignment w:val="baseline"/>
        <w:rPr>
          <w:rStyle w:val="10"/>
          <w:rFonts w:ascii="方正小标宋简体" w:eastAsia="方正小标宋简体"/>
          <w:sz w:val="44"/>
          <w:szCs w:val="44"/>
          <w:lang w:val="en-US" w:eastAsia="zh-CN" w:bidi="ar-SA"/>
        </w:rPr>
      </w:pPr>
      <w:r>
        <w:rPr>
          <w:rStyle w:val="10"/>
          <w:rFonts w:ascii="方正小标宋简体" w:eastAsia="方正小标宋简体"/>
          <w:sz w:val="44"/>
          <w:szCs w:val="44"/>
          <w:lang w:val="en-US" w:eastAsia="zh-CN" w:bidi="ar-SA"/>
        </w:rPr>
        <w:t>关于肃南县2020年财政预算调整方案的报告</w:t>
      </w:r>
    </w:p>
    <w:p>
      <w:pPr>
        <w:topLinePunct/>
        <w:spacing w:line="500" w:lineRule="exact"/>
        <w:jc w:val="center"/>
        <w:textAlignment w:val="baseline"/>
        <w:rPr>
          <w:rStyle w:val="10"/>
          <w:rFonts w:ascii="黑体" w:hAnsi="仿宋" w:eastAsia="黑体"/>
          <w:sz w:val="32"/>
          <w:szCs w:val="32"/>
          <w:lang w:val="en-US" w:eastAsia="zh-CN" w:bidi="ar-SA"/>
        </w:rPr>
      </w:pPr>
    </w:p>
    <w:p>
      <w:pPr>
        <w:topLinePunct/>
        <w:spacing w:line="600" w:lineRule="exact"/>
        <w:jc w:val="center"/>
        <w:textAlignment w:val="baseline"/>
        <w:rPr>
          <w:rStyle w:val="10"/>
          <w:rFonts w:ascii="仿宋_GB2312" w:hAnsi="仿宋" w:eastAsia="仿宋_GB2312"/>
          <w:sz w:val="32"/>
          <w:szCs w:val="32"/>
          <w:lang w:val="en-US" w:eastAsia="zh-CN" w:bidi="ar-SA"/>
        </w:rPr>
      </w:pPr>
      <w:r>
        <w:rPr>
          <w:rStyle w:val="10"/>
          <w:rFonts w:ascii="黑体" w:hAnsi="仿宋" w:eastAsia="黑体"/>
          <w:sz w:val="32"/>
          <w:szCs w:val="32"/>
          <w:lang w:val="en-US" w:eastAsia="zh-CN" w:bidi="ar-SA"/>
        </w:rPr>
        <w:t>——</w:t>
      </w:r>
      <w:r>
        <w:rPr>
          <w:rStyle w:val="10"/>
          <w:rFonts w:ascii="仿宋_GB2312" w:hAnsi="仿宋" w:eastAsia="仿宋_GB2312"/>
          <w:sz w:val="32"/>
          <w:szCs w:val="32"/>
          <w:lang w:val="en-US" w:eastAsia="zh-CN" w:bidi="ar-SA"/>
        </w:rPr>
        <w:t>2020年10月10日在自治县十八届</w:t>
      </w:r>
    </w:p>
    <w:p>
      <w:pPr>
        <w:topLinePunct/>
        <w:spacing w:line="600" w:lineRule="exact"/>
        <w:jc w:val="center"/>
        <w:textAlignment w:val="baseline"/>
        <w:rPr>
          <w:rStyle w:val="10"/>
          <w:rFonts w:ascii="仿宋_GB2312" w:hAnsi="仿宋" w:eastAsia="仿宋_GB2312"/>
          <w:sz w:val="32"/>
          <w:szCs w:val="32"/>
          <w:lang w:val="en-US" w:eastAsia="zh-CN" w:bidi="ar-SA"/>
        </w:rPr>
      </w:pPr>
      <w:r>
        <w:rPr>
          <w:rStyle w:val="10"/>
          <w:rFonts w:ascii="仿宋_GB2312" w:hAnsi="仿宋" w:eastAsia="仿宋_GB2312"/>
          <w:sz w:val="32"/>
          <w:szCs w:val="32"/>
          <w:lang w:val="en-US" w:eastAsia="zh-CN" w:bidi="ar-SA"/>
        </w:rPr>
        <w:t>人大常委会第三十七次会议上</w:t>
      </w:r>
    </w:p>
    <w:p>
      <w:pPr>
        <w:tabs>
          <w:tab w:val="left" w:pos="710"/>
        </w:tabs>
        <w:spacing w:line="600" w:lineRule="exact"/>
        <w:jc w:val="center"/>
        <w:textAlignment w:val="baseline"/>
        <w:rPr>
          <w:rStyle w:val="10"/>
          <w:rFonts w:ascii="仿宋_GB2312" w:eastAsia="长城楷体"/>
          <w:sz w:val="32"/>
          <w:szCs w:val="32"/>
          <w:lang w:val="en-US" w:eastAsia="zh-CN" w:bidi="ar-SA"/>
        </w:rPr>
      </w:pPr>
    </w:p>
    <w:p>
      <w:pPr>
        <w:tabs>
          <w:tab w:val="left" w:pos="710"/>
        </w:tabs>
        <w:spacing w:line="600" w:lineRule="exact"/>
        <w:jc w:val="center"/>
        <w:textAlignment w:val="baseline"/>
        <w:rPr>
          <w:rStyle w:val="10"/>
          <w:rFonts w:ascii="仿宋_GB2312" w:eastAsia="仿宋_GB2312"/>
          <w:sz w:val="32"/>
          <w:szCs w:val="32"/>
          <w:lang w:val="en-US" w:eastAsia="zh-CN" w:bidi="ar-SA"/>
        </w:rPr>
      </w:pPr>
      <w:r>
        <w:rPr>
          <w:rStyle w:val="10"/>
          <w:rFonts w:ascii="仿宋_GB2312" w:eastAsia="仿宋_GB2312"/>
          <w:sz w:val="32"/>
          <w:szCs w:val="32"/>
          <w:lang w:val="en-US" w:eastAsia="zh-CN" w:bidi="ar-SA"/>
        </w:rPr>
        <w:t>肃南裕固族自治县财政局局长  宋自瑞</w:t>
      </w:r>
    </w:p>
    <w:p>
      <w:pPr>
        <w:spacing w:line="600" w:lineRule="exact"/>
        <w:jc w:val="both"/>
        <w:textAlignment w:val="baseline"/>
        <w:rPr>
          <w:rStyle w:val="10"/>
          <w:rFonts w:ascii="黑体" w:eastAsia="黑体"/>
          <w:sz w:val="32"/>
          <w:szCs w:val="32"/>
          <w:lang w:val="en-US" w:eastAsia="zh-CN" w:bidi="ar-SA"/>
        </w:rPr>
      </w:pPr>
    </w:p>
    <w:p>
      <w:pPr>
        <w:topLinePunct/>
        <w:spacing w:line="600" w:lineRule="exact"/>
        <w:jc w:val="both"/>
        <w:textAlignment w:val="baseline"/>
        <w:rPr>
          <w:rStyle w:val="10"/>
          <w:rFonts w:ascii="仿宋_GB2312" w:hAnsi="仿宋" w:eastAsia="仿宋_GB2312"/>
          <w:sz w:val="32"/>
          <w:szCs w:val="32"/>
          <w:lang w:val="en-US" w:eastAsia="zh-CN" w:bidi="ar-SA"/>
        </w:rPr>
      </w:pPr>
      <w:r>
        <w:rPr>
          <w:rStyle w:val="10"/>
          <w:rFonts w:ascii="仿宋_GB2312" w:hAnsi="仿宋" w:eastAsia="仿宋_GB2312"/>
          <w:sz w:val="32"/>
          <w:szCs w:val="32"/>
          <w:lang w:val="en-US" w:eastAsia="zh-CN" w:bidi="ar-SA"/>
        </w:rPr>
        <w:t>县人大常委会主任，各位副主任、各位委员：</w:t>
      </w:r>
    </w:p>
    <w:p>
      <w:pPr>
        <w:spacing w:line="600" w:lineRule="exact"/>
        <w:ind w:firstLine="640" w:firstLineChars="200"/>
        <w:jc w:val="both"/>
        <w:textAlignment w:val="auto"/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  <w:t>根据《中华人民共和国预算法》关于“在预算执行中需要增加或者减少预算总支出的，需要调入预算稳定调节基金的，需要调减预算安排的重点支出数额的，需要增加举借债务数额的，应当进行预算调整”的规定，</w:t>
      </w:r>
      <w:r>
        <w:rPr>
          <w:rStyle w:val="10"/>
          <w:rFonts w:ascii="仿宋_GB2312" w:eastAsia="仿宋_GB2312"/>
          <w:sz w:val="32"/>
          <w:szCs w:val="32"/>
          <w:lang w:val="en-US" w:eastAsia="zh-CN" w:bidi="ar-SA"/>
        </w:rPr>
        <w:t>受自治县人民政府委托，</w:t>
      </w:r>
      <w:r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  <w:t>现就增加举借债务数额涉及的预算调整事项向常委会报告如下，请予审查批准。</w:t>
      </w:r>
    </w:p>
    <w:p>
      <w:pPr>
        <w:spacing w:line="600" w:lineRule="exact"/>
        <w:ind w:firstLine="640" w:firstLineChars="200"/>
        <w:jc w:val="both"/>
        <w:textAlignment w:val="auto"/>
        <w:rPr>
          <w:rStyle w:val="10"/>
          <w:rFonts w:ascii="黑体" w:eastAsia="黑体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黑体" w:eastAsia="黑体"/>
          <w:kern w:val="2"/>
          <w:sz w:val="32"/>
          <w:szCs w:val="32"/>
          <w:lang w:val="en-US" w:eastAsia="zh-CN" w:bidi="ar-SA"/>
        </w:rPr>
        <w:t>一、预算调整的原因</w:t>
      </w:r>
    </w:p>
    <w:p>
      <w:pPr>
        <w:spacing w:line="600" w:lineRule="exact"/>
        <w:ind w:firstLine="640" w:firstLineChars="200"/>
        <w:jc w:val="both"/>
        <w:textAlignment w:val="auto"/>
        <w:rPr>
          <w:rStyle w:val="10"/>
          <w:rFonts w:ascii="仿宋_GB2312" w:eastAsia="仿宋_GB2312" w:cs="宋体"/>
          <w:bCs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eastAsia="仿宋_GB2312" w:cs="宋体"/>
          <w:bCs/>
          <w:kern w:val="2"/>
          <w:sz w:val="32"/>
          <w:szCs w:val="32"/>
          <w:lang w:val="en-US" w:eastAsia="zh-CN" w:bidi="ar-SA"/>
        </w:rPr>
        <w:t>根据《甘肃省财政厅关于下达2020年第二批新增一般债券和第四批新增专项债券额度的通知》</w:t>
      </w:r>
      <w:r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  <w:t>（甘财预[2020]70号）</w:t>
      </w:r>
      <w:r>
        <w:rPr>
          <w:rStyle w:val="10"/>
          <w:rFonts w:ascii="仿宋_GB2312" w:eastAsia="仿宋_GB2312" w:cs="宋体"/>
          <w:bCs/>
          <w:kern w:val="2"/>
          <w:sz w:val="32"/>
          <w:szCs w:val="32"/>
          <w:lang w:val="en-US" w:eastAsia="zh-CN" w:bidi="ar-SA"/>
        </w:rPr>
        <w:t>，省财政厅分两批下达我县2020年政府债券额度</w:t>
      </w:r>
      <w:r>
        <w:rPr>
          <w:rStyle w:val="10"/>
          <w:rFonts w:hint="eastAsia" w:ascii="仿宋_GB2312" w:eastAsia="仿宋_GB2312" w:cs="宋体"/>
          <w:bCs/>
          <w:kern w:val="2"/>
          <w:sz w:val="32"/>
          <w:szCs w:val="32"/>
          <w:lang w:val="en-US" w:eastAsia="zh-CN" w:bidi="ar-SA"/>
        </w:rPr>
        <w:t>13600</w:t>
      </w:r>
      <w:r>
        <w:rPr>
          <w:rStyle w:val="10"/>
          <w:rFonts w:ascii="仿宋_GB2312" w:eastAsia="仿宋_GB2312" w:cs="宋体"/>
          <w:bCs/>
          <w:kern w:val="2"/>
          <w:sz w:val="32"/>
          <w:szCs w:val="32"/>
          <w:lang w:val="en-US" w:eastAsia="zh-CN" w:bidi="ar-SA"/>
        </w:rPr>
        <w:t>万元，其中，一般债券</w:t>
      </w:r>
      <w:r>
        <w:rPr>
          <w:rStyle w:val="10"/>
          <w:rFonts w:hint="eastAsia" w:ascii="仿宋_GB2312" w:eastAsia="仿宋_GB2312" w:cs="宋体"/>
          <w:bCs/>
          <w:kern w:val="2"/>
          <w:sz w:val="32"/>
          <w:szCs w:val="32"/>
          <w:lang w:val="en-US" w:eastAsia="zh-CN" w:bidi="ar-SA"/>
        </w:rPr>
        <w:t>5000</w:t>
      </w:r>
      <w:r>
        <w:rPr>
          <w:rStyle w:val="10"/>
          <w:rFonts w:ascii="仿宋_GB2312" w:eastAsia="仿宋_GB2312" w:cs="宋体"/>
          <w:bCs/>
          <w:kern w:val="2"/>
          <w:sz w:val="32"/>
          <w:szCs w:val="32"/>
          <w:lang w:val="en-US" w:eastAsia="zh-CN" w:bidi="ar-SA"/>
        </w:rPr>
        <w:t>万元，专项债券</w:t>
      </w:r>
      <w:r>
        <w:rPr>
          <w:rStyle w:val="10"/>
          <w:rFonts w:hint="eastAsia" w:ascii="仿宋_GB2312" w:eastAsia="仿宋_GB2312" w:cs="宋体"/>
          <w:bCs/>
          <w:kern w:val="2"/>
          <w:sz w:val="32"/>
          <w:szCs w:val="32"/>
          <w:lang w:val="en-US" w:eastAsia="zh-CN" w:bidi="ar-SA"/>
        </w:rPr>
        <w:t>8600</w:t>
      </w:r>
      <w:r>
        <w:rPr>
          <w:rStyle w:val="10"/>
          <w:rFonts w:ascii="仿宋_GB2312" w:eastAsia="仿宋_GB2312" w:cs="宋体"/>
          <w:bCs/>
          <w:kern w:val="2"/>
          <w:sz w:val="32"/>
          <w:szCs w:val="32"/>
          <w:lang w:val="en-US" w:eastAsia="zh-CN" w:bidi="ar-SA"/>
        </w:rPr>
        <w:t>万元 。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both"/>
        <w:textAlignment w:val="auto"/>
        <w:rPr>
          <w:rStyle w:val="10"/>
          <w:rFonts w:ascii="黑体" w:eastAsia="黑体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黑体" w:eastAsia="黑体"/>
          <w:kern w:val="2"/>
          <w:sz w:val="32"/>
          <w:szCs w:val="32"/>
          <w:lang w:val="en-US" w:eastAsia="zh-CN" w:bidi="ar-SA"/>
        </w:rPr>
        <w:t>债券使用要求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textAlignment w:val="auto"/>
        <w:rPr>
          <w:rStyle w:val="10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eastAsia="仿宋_GB2312" w:cs="宋体"/>
          <w:bCs/>
          <w:kern w:val="2"/>
          <w:sz w:val="32"/>
          <w:szCs w:val="32"/>
          <w:lang w:val="en-US" w:eastAsia="zh-CN" w:bidi="ar-SA"/>
        </w:rPr>
        <w:t>地方政府债券资金使用有关政策规定，新增债券资金要坚持将新增债券资金依法用于公益性资本支出，按照“资金跟着项目走”的原则，新增一般债券重点聚焦党中央、国务院和省委、省政府确定重大战略、重点领域项目，优先安排易地扶贫搬迁、脱贫攻坚、污染防治、乡村振兴等重大战略；专项债券项目必须合格合规，必须是有一定收益的公益性项目，融资规模要与项目收益相平衡，必须满足专项债券发行管理和风险防控条件。对国家发展改革委审核反馈清单内的项目。</w:t>
      </w:r>
      <w:r>
        <w:rPr>
          <w:rStyle w:val="10"/>
          <w:rFonts w:ascii="仿宋" w:hAnsi="仿宋" w:eastAsia="仿宋"/>
          <w:kern w:val="2"/>
          <w:sz w:val="32"/>
          <w:szCs w:val="32"/>
          <w:lang w:val="en-US" w:eastAsia="zh-CN" w:bidi="ar-SA"/>
        </w:rPr>
        <w:t>严禁将新增债券资金用于置换存量债务，决不允许搞形象工程、面子工程。新增债券资金依法不得用于经常性支出，严禁用于发放工资、单位运行经费、发放养老金、支付利息等，严禁用于商业化运作的产业项目，严禁用于企业注册资本金、补贴等，不得安排土地储备和房地产相关项目。要贯彻落实国家推进政务公开的要求，按照《地方政府债务信息公开办法》相关规定，及时做好债券信息披露、公开等工作。</w:t>
      </w:r>
    </w:p>
    <w:p>
      <w:pPr>
        <w:spacing w:line="600" w:lineRule="exact"/>
        <w:ind w:firstLine="640" w:firstLineChars="200"/>
        <w:jc w:val="both"/>
        <w:textAlignment w:val="auto"/>
        <w:rPr>
          <w:rStyle w:val="10"/>
          <w:rFonts w:ascii="黑体" w:eastAsia="黑体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黑体" w:eastAsia="黑体"/>
          <w:kern w:val="2"/>
          <w:sz w:val="32"/>
          <w:szCs w:val="32"/>
          <w:lang w:val="en-US" w:eastAsia="zh-CN" w:bidi="ar-SA"/>
        </w:rPr>
        <w:t>三、财政预算调整方案</w:t>
      </w:r>
    </w:p>
    <w:p>
      <w:pPr>
        <w:spacing w:line="600" w:lineRule="exact"/>
        <w:ind w:firstLine="640" w:firstLineChars="200"/>
        <w:jc w:val="both"/>
        <w:textAlignment w:val="auto"/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  <w:t>自治县</w:t>
      </w:r>
      <w:r>
        <w:rPr>
          <w:rStyle w:val="10"/>
          <w:rFonts w:ascii="仿宋_GB2312" w:eastAsia="仿宋_GB2312"/>
          <w:sz w:val="32"/>
          <w:szCs w:val="32"/>
          <w:lang w:val="en-US" w:eastAsia="zh-CN" w:bidi="ar-SA"/>
        </w:rPr>
        <w:t>十八届人民代表大会第四次会议</w:t>
      </w:r>
      <w:r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  <w:t>审查批准的县级预算方案作如下调整：</w:t>
      </w:r>
    </w:p>
    <w:p>
      <w:pPr>
        <w:spacing w:line="600" w:lineRule="exact"/>
        <w:ind w:firstLine="640" w:firstLineChars="200"/>
        <w:jc w:val="both"/>
        <w:textAlignment w:val="auto"/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  <w:t>（一）一般公共预算调整方案。县本级财政总收入由136735万元调整为141735万元，其中：债务(转贷)收入增加5000万元；财政总支出由136735万元调整为141735万元，增加5000万元，其中：一般公共预算支出由130608万元相应调整为135608万元，比年初预算增加5000万元（新增债券），其中：</w:t>
      </w:r>
      <w:r>
        <w:rPr>
          <w:rStyle w:val="10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一般公共服务支出增加985万元；公共安全支出增加1140万元；文化旅游体育与传媒支出增加360万元；卫生健康支出增加400万元；</w:t>
      </w:r>
      <w:r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  <w:t>节能环保支出增加</w:t>
      </w:r>
      <w:r>
        <w:rPr>
          <w:rStyle w:val="10"/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1800</w:t>
      </w:r>
      <w:r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  <w:t>万元；</w:t>
      </w:r>
      <w:bookmarkStart w:id="0" w:name="_GoBack"/>
      <w:bookmarkEnd w:id="0"/>
      <w:r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  <w:t>交通运输支出增加315万元。收支相抵，为平衡预算。</w:t>
      </w:r>
    </w:p>
    <w:p>
      <w:pPr>
        <w:spacing w:line="600" w:lineRule="exact"/>
        <w:ind w:firstLine="640" w:firstLineChars="200"/>
        <w:jc w:val="both"/>
        <w:textAlignment w:val="auto"/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  <w:t>（二）政府性基金预算调整方案。县级政府性基金预算支出作如下调整：</w:t>
      </w:r>
    </w:p>
    <w:p>
      <w:pPr>
        <w:spacing w:line="600" w:lineRule="exact"/>
        <w:ind w:firstLine="640" w:firstLineChars="200"/>
        <w:jc w:val="both"/>
        <w:textAlignment w:val="auto"/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  <w:t>基金总收入由626万元调整为9226万元，其中：债务(转贷)收入增加8600万元；基金总支出由626万元调整为9226万元，增加8600万元。</w:t>
      </w:r>
    </w:p>
    <w:p>
      <w:pPr>
        <w:spacing w:line="600" w:lineRule="exact"/>
        <w:ind w:firstLine="640" w:firstLineChars="200"/>
        <w:jc w:val="both"/>
        <w:textAlignment w:val="auto"/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  <w:t>下一步，我们将在县人大常委会的监督指导下，严格按照批准的预算调整方案，加强资金监管，做好地方政府债券资金管理使用工作，提高资金使用效益，做好“六稳”工作、落实“六保”任务，加快地方政府债券支付进度，确保发挥应有效益，促进自治县经济健康平稳运行。</w:t>
      </w:r>
    </w:p>
    <w:p>
      <w:pPr>
        <w:spacing w:line="600" w:lineRule="exact"/>
        <w:ind w:firstLine="640" w:firstLineChars="200"/>
        <w:jc w:val="both"/>
        <w:textAlignment w:val="auto"/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eastAsia="仿宋_GB2312"/>
          <w:kern w:val="2"/>
          <w:sz w:val="32"/>
          <w:szCs w:val="32"/>
          <w:lang w:val="en-US" w:eastAsia="zh-CN" w:bidi="ar-SA"/>
        </w:rPr>
        <w:t>以上报告，请予审议。</w:t>
      </w:r>
    </w:p>
    <w:p>
      <w:pPr>
        <w:spacing w:line="600" w:lineRule="exact"/>
        <w:jc w:val="both"/>
        <w:textAlignment w:val="baseline"/>
        <w:rPr>
          <w:rStyle w:val="10"/>
          <w:rFonts w:ascii="仿宋_GB2312" w:eastAsia="仿宋_GB2312"/>
          <w:sz w:val="32"/>
          <w:szCs w:val="32"/>
          <w:lang w:val="en-US" w:eastAsia="zh-CN" w:bidi="ar-SA"/>
        </w:rPr>
      </w:pPr>
    </w:p>
    <w:p>
      <w:pPr>
        <w:spacing w:line="500" w:lineRule="exact"/>
        <w:jc w:val="both"/>
        <w:textAlignment w:val="baseline"/>
        <w:rPr>
          <w:rStyle w:val="10"/>
          <w:rFonts w:ascii="仿宋_GB2312" w:eastAsia="仿宋_GB2312"/>
          <w:sz w:val="32"/>
          <w:szCs w:val="32"/>
          <w:lang w:val="en-US" w:eastAsia="zh-CN" w:bidi="ar-SA"/>
        </w:rPr>
      </w:pPr>
    </w:p>
    <w:p>
      <w:pPr>
        <w:spacing w:line="500" w:lineRule="exact"/>
        <w:jc w:val="both"/>
        <w:textAlignment w:val="baseline"/>
        <w:rPr>
          <w:rStyle w:val="10"/>
          <w:rFonts w:ascii="仿宋_GB2312" w:eastAsia="仿宋_GB2312"/>
          <w:sz w:val="32"/>
          <w:szCs w:val="32"/>
          <w:lang w:val="en-US" w:eastAsia="zh-CN" w:bidi="ar-SA"/>
        </w:rPr>
      </w:pPr>
    </w:p>
    <w:p>
      <w:pPr>
        <w:spacing w:line="500" w:lineRule="exact"/>
        <w:jc w:val="both"/>
        <w:textAlignment w:val="baseline"/>
        <w:rPr>
          <w:rStyle w:val="10"/>
          <w:rFonts w:ascii="仿宋_GB2312" w:eastAsia="仿宋_GB2312"/>
          <w:sz w:val="32"/>
          <w:szCs w:val="32"/>
          <w:lang w:val="en-US" w:eastAsia="zh-CN" w:bidi="ar-SA"/>
        </w:rPr>
      </w:pPr>
    </w:p>
    <w:p>
      <w:pPr>
        <w:spacing w:line="500" w:lineRule="exact"/>
        <w:jc w:val="both"/>
        <w:textAlignment w:val="baseline"/>
        <w:rPr>
          <w:rStyle w:val="10"/>
          <w:rFonts w:ascii="仿宋_GB2312" w:eastAsia="仿宋_GB2312"/>
          <w:sz w:val="32"/>
          <w:szCs w:val="32"/>
          <w:lang w:val="en-US" w:eastAsia="zh-CN" w:bidi="ar-SA"/>
        </w:rPr>
      </w:pPr>
    </w:p>
    <w:p>
      <w:pPr>
        <w:spacing w:line="500" w:lineRule="exact"/>
        <w:jc w:val="both"/>
        <w:textAlignment w:val="baseline"/>
        <w:rPr>
          <w:rStyle w:val="10"/>
          <w:rFonts w:ascii="仿宋_GB2312" w:eastAsia="仿宋_GB231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74" w:right="1588" w:bottom="1474" w:left="1588" w:header="851" w:footer="1077" w:gutter="0"/>
      <w:paperSrc/>
      <w:lnNumType w:countBy="0"/>
      <w:cols w:space="425" w:num="1"/>
      <w:titlePg/>
      <w:vAlign w:val="top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widowControl/>
      <w:snapToGrid w:val="0"/>
      <w:spacing w:line="240" w:lineRule="atLeast"/>
      <w:jc w:val="left"/>
      <w:textAlignment w:val="baseline"/>
      <w:rPr>
        <w:rStyle w:val="12"/>
        <w:rFonts w:ascii="宋体" w:hAnsi="宋体" w:eastAsia="宋体"/>
        <w:sz w:val="28"/>
        <w:szCs w:val="28"/>
        <w:lang w:val="en-US" w:eastAsia="zh-CN" w:bidi="ar-SA"/>
      </w:rPr>
    </w:pPr>
  </w:p>
  <w:p>
    <w:pPr>
      <w:pStyle w:val="2"/>
      <w:widowControl/>
      <w:snapToGrid w:val="0"/>
      <w:spacing w:line="240" w:lineRule="atLeast"/>
      <w:ind w:right="360" w:firstLine="360"/>
      <w:jc w:val="center"/>
      <w:textAlignment w:val="baseline"/>
      <w:rPr>
        <w:rStyle w:val="10"/>
        <w:rFonts w:eastAsia="长城楷体"/>
        <w:sz w:val="24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widowControl/>
      <w:snapToGrid w:val="0"/>
      <w:spacing w:line="240" w:lineRule="atLeast"/>
      <w:jc w:val="left"/>
      <w:textAlignment w:val="baseline"/>
      <w:rPr>
        <w:rStyle w:val="12"/>
        <w:rFonts w:eastAsia="长城楷体"/>
        <w:sz w:val="18"/>
        <w:szCs w:val="18"/>
        <w:lang w:val="en-US" w:eastAsia="zh-CN" w:bidi="ar-SA"/>
      </w:rPr>
    </w:pPr>
  </w:p>
  <w:p>
    <w:pPr>
      <w:pStyle w:val="2"/>
      <w:widowControl/>
      <w:snapToGrid w:val="0"/>
      <w:spacing w:line="240" w:lineRule="atLeast"/>
      <w:ind w:right="360" w:firstLine="360"/>
      <w:jc w:val="left"/>
      <w:textAlignment w:val="baseline"/>
      <w:rPr>
        <w:rStyle w:val="10"/>
        <w:rFonts w:eastAsia="长城楷体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spacing w:line="240" w:lineRule="atLeast"/>
      <w:jc w:val="center"/>
      <w:textAlignment w:val="baseline"/>
      <w:rPr>
        <w:rStyle w:val="10"/>
        <w:rFonts w:eastAsia="长城楷体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B2BFE3"/>
    <w:multiLevelType w:val="singleLevel"/>
    <w:tmpl w:val="FBB2BFE3"/>
    <w:lvl w:ilvl="0" w:tentative="0">
      <w:start w:val="2"/>
      <w:numFmt w:val="chineseCounting"/>
      <w:suff w:val="nothing"/>
      <w:lvlText w:val="%1、"/>
      <w:lvlJc w:val="left"/>
      <w:pPr>
        <w:widowControl/>
        <w:textAlignment w:val="baseline"/>
      </w:pPr>
      <w:rPr>
        <w:rStyle w:val="1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985572B"/>
    <w:rsid w:val="48741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uiPriority w:val="0"/>
    <w:pPr>
      <w:spacing w:line="312" w:lineRule="atLeast"/>
      <w:jc w:val="both"/>
      <w:textAlignment w:val="baseline"/>
    </w:pPr>
    <w:rPr>
      <w:rFonts w:ascii="Times New Roman" w:hAnsi="Times New Roman" w:eastAsia="长城楷体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eastAsia="长城楷体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  <w:textAlignment w:val="baseline"/>
    </w:pPr>
    <w:rPr>
      <w:rFonts w:eastAsia="长城楷体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cs="Times New Roman"/>
      <w:b/>
      <w:bCs/>
    </w:rPr>
  </w:style>
  <w:style w:type="paragraph" w:customStyle="1" w:styleId="7">
    <w:name w:val="Heading1"/>
    <w:basedOn w:val="1"/>
    <w:next w:val="1"/>
    <w:uiPriority w:val="0"/>
    <w:pPr>
      <w:keepNext/>
      <w:keepLines/>
      <w:spacing w:before="340" w:after="330" w:line="578" w:lineRule="atLeast"/>
      <w:jc w:val="both"/>
      <w:textAlignment w:val="baseline"/>
    </w:pPr>
    <w:rPr>
      <w:rFonts w:eastAsia="长城楷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8">
    <w:name w:val="Heading2"/>
    <w:basedOn w:val="1"/>
    <w:next w:val="1"/>
    <w:uiPriority w:val="0"/>
    <w:pPr>
      <w:keepNext/>
      <w:keepLines/>
      <w:spacing w:before="260" w:after="260" w:line="416" w:lineRule="atLeast"/>
      <w:jc w:val="both"/>
      <w:textAlignment w:val="baseline"/>
    </w:pPr>
    <w:rPr>
      <w:rFonts w:ascii="Arial" w:hAnsi="Arial" w:eastAsia="黑体" w:cs="Times New Roman"/>
      <w:b/>
      <w:bCs/>
      <w:sz w:val="32"/>
      <w:szCs w:val="32"/>
      <w:lang w:val="en-US" w:eastAsia="zh-CN" w:bidi="ar-SA"/>
    </w:rPr>
  </w:style>
  <w:style w:type="paragraph" w:customStyle="1" w:styleId="9">
    <w:name w:val="Heading3"/>
    <w:basedOn w:val="1"/>
    <w:next w:val="1"/>
    <w:uiPriority w:val="0"/>
    <w:pPr>
      <w:keepNext/>
      <w:keepLines/>
      <w:spacing w:before="260" w:after="260" w:line="416" w:lineRule="atLeast"/>
      <w:jc w:val="both"/>
      <w:textAlignment w:val="baseline"/>
    </w:pPr>
    <w:rPr>
      <w:rFonts w:eastAsia="长城楷体" w:cs="Times New Roman"/>
      <w:b/>
      <w:bCs/>
      <w:sz w:val="32"/>
      <w:szCs w:val="32"/>
      <w:lang w:val="en-US" w:eastAsia="zh-CN" w:bidi="ar-SA"/>
    </w:rPr>
  </w:style>
  <w:style w:type="character" w:customStyle="1" w:styleId="10">
    <w:name w:val="NormalCharacter"/>
    <w:link w:val="1"/>
    <w:semiHidden/>
    <w:uiPriority w:val="0"/>
  </w:style>
  <w:style w:type="table" w:customStyle="1" w:styleId="11">
    <w:name w:val="TableNormal"/>
    <w:semiHidden/>
    <w:uiPriority w:val="0"/>
  </w:style>
  <w:style w:type="character" w:customStyle="1" w:styleId="12">
    <w:name w:val="PageNumber"/>
    <w:basedOn w:val="10"/>
    <w:link w:val="1"/>
    <w:uiPriority w:val="0"/>
  </w:style>
  <w:style w:type="paragraph" w:customStyle="1" w:styleId="13">
    <w:name w:val="Acetate"/>
    <w:basedOn w:val="1"/>
    <w:semiHidden/>
    <w:qFormat/>
    <w:uiPriority w:val="0"/>
    <w:pPr>
      <w:spacing w:line="312" w:lineRule="atLeast"/>
      <w:jc w:val="both"/>
      <w:textAlignment w:val="baseline"/>
    </w:pPr>
    <w:rPr>
      <w:rFonts w:eastAsia="长城楷体"/>
      <w:sz w:val="18"/>
      <w:szCs w:val="18"/>
      <w:lang w:val="en-US" w:eastAsia="zh-CN" w:bidi="ar-SA"/>
    </w:rPr>
  </w:style>
  <w:style w:type="paragraph" w:customStyle="1" w:styleId="14">
    <w:name w:val="BodyTextIndent2"/>
    <w:basedOn w:val="1"/>
    <w:uiPriority w:val="0"/>
    <w:pPr>
      <w:spacing w:after="120" w:line="480" w:lineRule="auto"/>
      <w:ind w:left="420" w:leftChars="200"/>
      <w:jc w:val="both"/>
      <w:textAlignment w:val="auto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5">
    <w:name w:val="BodyText"/>
    <w:basedOn w:val="1"/>
    <w:qFormat/>
    <w:uiPriority w:val="0"/>
    <w:pPr>
      <w:spacing w:line="60" w:lineRule="auto"/>
      <w:jc w:val="both"/>
      <w:textAlignment w:val="auto"/>
    </w:pPr>
    <w:rPr>
      <w:rFonts w:ascii="楷体_GB2312" w:eastAsia="楷体_GB2312"/>
      <w:kern w:val="2"/>
      <w:sz w:val="32"/>
      <w:lang w:val="en-US" w:eastAsia="zh-CN" w:bidi="ar-SA"/>
    </w:rPr>
  </w:style>
  <w:style w:type="paragraph" w:customStyle="1" w:styleId="16">
    <w:name w:val="BodyTextIndent3"/>
    <w:basedOn w:val="1"/>
    <w:qFormat/>
    <w:uiPriority w:val="0"/>
    <w:pPr>
      <w:spacing w:after="120" w:line="312" w:lineRule="atLeast"/>
      <w:ind w:left="420" w:leftChars="200"/>
      <w:jc w:val="both"/>
      <w:textAlignment w:val="baseline"/>
    </w:pPr>
    <w:rPr>
      <w:rFonts w:eastAsia="长城楷体"/>
      <w:sz w:val="16"/>
      <w:szCs w:val="16"/>
      <w:lang w:val="en-US" w:eastAsia="zh-CN" w:bidi="ar-SA"/>
    </w:rPr>
  </w:style>
  <w:style w:type="paragraph" w:customStyle="1" w:styleId="17">
    <w:name w:val="UserStyle_0"/>
    <w:basedOn w:val="1"/>
    <w:qFormat/>
    <w:uiPriority w:val="0"/>
    <w:pPr>
      <w:spacing w:line="240" w:lineRule="auto"/>
      <w:jc w:val="both"/>
      <w:textAlignment w:val="auto"/>
    </w:pPr>
    <w:rPr>
      <w:rFonts w:eastAsia="宋体"/>
      <w:kern w:val="2"/>
      <w:sz w:val="21"/>
      <w:szCs w:val="21"/>
      <w:lang w:val="en-US" w:eastAsia="zh-CN" w:bidi="ar-SA"/>
    </w:rPr>
  </w:style>
  <w:style w:type="paragraph" w:customStyle="1" w:styleId="18">
    <w:name w:val="UserStyle_1"/>
    <w:basedOn w:val="1"/>
    <w:qFormat/>
    <w:uiPriority w:val="0"/>
    <w:pPr>
      <w:spacing w:line="240" w:lineRule="auto"/>
      <w:jc w:val="both"/>
      <w:textAlignment w:val="auto"/>
    </w:pPr>
    <w:rPr>
      <w:rFonts w:ascii="宋体" w:hAnsi="宋体" w:eastAsia="宋体"/>
      <w:kern w:val="2"/>
      <w:sz w:val="32"/>
      <w:szCs w:val="24"/>
      <w:lang w:val="en-US" w:eastAsia="zh-CN" w:bidi="ar-SA"/>
    </w:rPr>
  </w:style>
  <w:style w:type="paragraph" w:customStyle="1" w:styleId="19">
    <w:name w:val="UserStyle_2"/>
    <w:basedOn w:val="1"/>
    <w:qFormat/>
    <w:uiPriority w:val="0"/>
    <w:pPr>
      <w:spacing w:line="240" w:lineRule="auto"/>
      <w:jc w:val="both"/>
      <w:textAlignment w:val="auto"/>
    </w:pPr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0">
    <w:name w:val="UserStyle_3"/>
    <w:basedOn w:val="1"/>
    <w:qFormat/>
    <w:uiPriority w:val="0"/>
    <w:pPr>
      <w:spacing w:line="240" w:lineRule="auto"/>
      <w:jc w:val="both"/>
      <w:textAlignment w:val="auto"/>
    </w:pPr>
    <w:rPr>
      <w:rFonts w:eastAsia="宋体"/>
      <w:kern w:val="2"/>
      <w:sz w:val="21"/>
      <w:szCs w:val="21"/>
      <w:lang w:val="en-US" w:eastAsia="zh-CN" w:bidi="ar-SA"/>
    </w:rPr>
  </w:style>
  <w:style w:type="table" w:customStyle="1" w:styleId="21">
    <w:name w:val="TableGrid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2020-09-30T01:52:09Z</dcterms:created>
  <dc:creator>Administrator</dc:creator>
  <cp:lastModifiedBy>没有太阳的晴天</cp:lastModifiedBy>
  <dcterms:modified xsi:type="dcterms:W3CDTF">2020-09-30T02:20:15Z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